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C0E633">
      <w:pPr>
        <w:pStyle w:val="2"/>
        <w:keepNext/>
        <w:keepLines/>
        <w:pageBreakBefore w:val="0"/>
        <w:widowControl/>
        <w:numPr>
          <w:numId w:val="0"/>
        </w:numPr>
        <w:kinsoku/>
        <w:wordWrap/>
        <w:overflowPunct/>
        <w:topLinePunct w:val="0"/>
        <w:autoSpaceDE/>
        <w:autoSpaceDN/>
        <w:bidi w:val="0"/>
        <w:adjustRightInd/>
        <w:snapToGrid/>
        <w:spacing w:line="440" w:lineRule="exact"/>
        <w:ind w:leftChars="0"/>
        <w:jc w:val="center"/>
        <w:textAlignment w:val="auto"/>
        <w:rPr>
          <w:rFonts w:hint="eastAsia" w:ascii="仿宋_GB2312"/>
        </w:rPr>
      </w:pPr>
      <w:r>
        <w:rPr>
          <w:rFonts w:hint="eastAsia" w:ascii="仿宋_GB2312"/>
        </w:rPr>
        <w:t>江西省皮肤病专科医院</w:t>
      </w:r>
    </w:p>
    <w:p w14:paraId="6F114947">
      <w:pPr>
        <w:pStyle w:val="2"/>
        <w:keepNext/>
        <w:keepLines/>
        <w:pageBreakBefore w:val="0"/>
        <w:widowControl/>
        <w:numPr>
          <w:numId w:val="0"/>
        </w:numPr>
        <w:kinsoku/>
        <w:wordWrap/>
        <w:overflowPunct/>
        <w:topLinePunct w:val="0"/>
        <w:autoSpaceDE/>
        <w:autoSpaceDN/>
        <w:bidi w:val="0"/>
        <w:adjustRightInd/>
        <w:snapToGrid/>
        <w:spacing w:line="440" w:lineRule="exact"/>
        <w:ind w:leftChars="0"/>
        <w:jc w:val="center"/>
        <w:textAlignment w:val="auto"/>
        <w:rPr>
          <w:rFonts w:hint="default" w:ascii="仿宋_GB2312" w:eastAsia="仿宋_GB2312"/>
          <w:lang w:val="en-US" w:eastAsia="zh-CN"/>
        </w:rPr>
      </w:pPr>
      <w:bookmarkStart w:id="5" w:name="_GoBack"/>
      <w:r>
        <w:rPr>
          <w:rFonts w:hint="eastAsia" w:ascii="仿宋_GB2312"/>
        </w:rPr>
        <w:t>互联网+护理服务</w:t>
      </w:r>
      <w:r>
        <w:rPr>
          <w:rFonts w:hint="eastAsia" w:ascii="仿宋_GB2312"/>
          <w:lang w:val="en-US" w:eastAsia="zh-CN"/>
        </w:rPr>
        <w:t>比选</w:t>
      </w:r>
      <w:r>
        <w:rPr>
          <w:rFonts w:hint="eastAsia" w:ascii="仿宋_GB2312"/>
        </w:rPr>
        <w:t>需求及</w:t>
      </w:r>
      <w:r>
        <w:rPr>
          <w:rFonts w:hint="eastAsia" w:ascii="仿宋_GB2312"/>
          <w:lang w:val="en-US" w:eastAsia="zh-CN"/>
        </w:rPr>
        <w:t>评标方法</w:t>
      </w:r>
    </w:p>
    <w:bookmarkEnd w:id="5"/>
    <w:p w14:paraId="720F8E58">
      <w:pPr>
        <w:pStyle w:val="2"/>
        <w:ind w:left="0"/>
        <w:rPr>
          <w:rFonts w:hint="eastAsia" w:ascii="仿宋_GB2312"/>
        </w:rPr>
      </w:pPr>
      <w:r>
        <w:rPr>
          <w:rFonts w:hint="eastAsia" w:ascii="仿宋_GB2312"/>
          <w:lang w:eastAsia="zh"/>
        </w:rPr>
        <w:t>比选</w:t>
      </w:r>
      <w:r>
        <w:rPr>
          <w:rFonts w:hint="eastAsia" w:ascii="仿宋_GB2312"/>
        </w:rPr>
        <w:t>需求</w:t>
      </w:r>
    </w:p>
    <w:p w14:paraId="59D4AA5F">
      <w:pPr>
        <w:ind w:firstLine="422"/>
        <w:rPr>
          <w:rFonts w:ascii="仿宋_GB2312"/>
          <w:b/>
          <w:bCs/>
          <w:sz w:val="30"/>
          <w:szCs w:val="30"/>
        </w:rPr>
      </w:pPr>
      <w:r>
        <w:rPr>
          <w:rFonts w:hint="eastAsia" w:ascii="仿宋_GB2312"/>
          <w:b/>
          <w:bCs/>
          <w:sz w:val="30"/>
          <w:szCs w:val="30"/>
        </w:rPr>
        <w:t>一、需求概述</w:t>
      </w:r>
    </w:p>
    <w:p w14:paraId="4E98E7A3">
      <w:pPr>
        <w:ind w:firstLine="420"/>
        <w:rPr>
          <w:rFonts w:ascii="仿宋_GB2312"/>
          <w:sz w:val="30"/>
          <w:szCs w:val="30"/>
        </w:rPr>
      </w:pPr>
      <w:r>
        <w:rPr>
          <w:rFonts w:hint="eastAsia" w:ascii="仿宋_GB2312"/>
          <w:sz w:val="30"/>
          <w:szCs w:val="30"/>
        </w:rPr>
        <w:t>为深入贯彻落实国家、省、市关于“互联网+医疗健康”的战略部署，持续深化医疗卫生服务体系改革，完善医院护理服务链条，补齐院后延续性护理服务薄弱短板，切实解决老年患者、慢性病患者、行动不便特殊人群就医复诊难、居家护理不便等痛点问题，江西省皮肤病专科医院拟常态化开展规范化、专业化互联网+居家护理上门服务。本项目通过引入合规优质的第三方平台服务供应商，搭建智能化、安全化、高效化的线上护理服务管理平台，构建“线上预约申请、智能精准派单、线下专业服务、全程动态监管、服务闭环追溯”的一体化移动护理服务体系，进一步丰富医院延续性护理服务内涵，打造专科特色居家护理服务品牌，切实提升患者就医体验与获得感，赋能医护人员职业价值提升，全面扩大医院公共卫生服务影响力与社会效益。</w:t>
      </w:r>
    </w:p>
    <w:p w14:paraId="5AFB2BFC">
      <w:pPr>
        <w:ind w:firstLine="422"/>
        <w:rPr>
          <w:rFonts w:ascii="仿宋_GB2312"/>
          <w:b/>
          <w:bCs/>
          <w:sz w:val="30"/>
          <w:szCs w:val="30"/>
        </w:rPr>
      </w:pPr>
      <w:r>
        <w:rPr>
          <w:rFonts w:hint="eastAsia" w:ascii="仿宋_GB2312"/>
          <w:b/>
          <w:bCs/>
          <w:sz w:val="30"/>
          <w:szCs w:val="30"/>
        </w:rPr>
        <w:t>二、服务范围及服务对象</w:t>
      </w:r>
    </w:p>
    <w:p w14:paraId="70D33F3B">
      <w:pPr>
        <w:ind w:firstLine="420"/>
        <w:rPr>
          <w:rFonts w:ascii="仿宋_GB2312" w:hAnsi="Times New Roman" w:cs="Times New Roman"/>
          <w:sz w:val="30"/>
          <w:szCs w:val="30"/>
        </w:rPr>
      </w:pPr>
      <w:r>
        <w:rPr>
          <w:rFonts w:hint="eastAsia" w:ascii="仿宋_GB2312" w:hAnsi="Times New Roman" w:cs="Times New Roman"/>
          <w:sz w:val="30"/>
          <w:szCs w:val="30"/>
        </w:rPr>
        <w:t>服务范围：由江西省皮肤病专科医院确定服务范围。</w:t>
      </w:r>
    </w:p>
    <w:p w14:paraId="732DAEB8">
      <w:pPr>
        <w:ind w:firstLine="420"/>
        <w:rPr>
          <w:rFonts w:ascii="仿宋_GB2312" w:hAnsi="Times New Roman" w:cs="Times New Roman"/>
          <w:sz w:val="30"/>
          <w:szCs w:val="30"/>
        </w:rPr>
      </w:pPr>
      <w:r>
        <w:rPr>
          <w:rFonts w:ascii="仿宋_GB2312" w:hAnsi="Times New Roman" w:cs="Times New Roman"/>
          <w:sz w:val="30"/>
          <w:szCs w:val="30"/>
        </w:rPr>
        <w:t>服务对象主要包括：</w:t>
      </w:r>
      <w:r>
        <w:rPr>
          <w:rFonts w:hint="eastAsia" w:ascii="仿宋_GB2312" w:hAnsi="Times New Roman" w:cs="Times New Roman"/>
          <w:sz w:val="30"/>
          <w:szCs w:val="30"/>
        </w:rPr>
        <w:t>重点面向高龄、失能/半失能老年人、出院康复期患者、终末期患者等行动不便人群。</w:t>
      </w:r>
    </w:p>
    <w:p w14:paraId="3A94C573">
      <w:pPr>
        <w:ind w:firstLine="422"/>
        <w:rPr>
          <w:rFonts w:ascii="仿宋_GB2312"/>
          <w:b/>
          <w:bCs/>
          <w:sz w:val="30"/>
          <w:szCs w:val="30"/>
        </w:rPr>
      </w:pPr>
      <w:r>
        <w:rPr>
          <w:rFonts w:hint="eastAsia" w:ascii="仿宋_GB2312"/>
          <w:b/>
          <w:bCs/>
          <w:sz w:val="30"/>
          <w:szCs w:val="30"/>
        </w:rPr>
        <w:t>三、平台功能需求</w:t>
      </w:r>
    </w:p>
    <w:p w14:paraId="7867A950">
      <w:pPr>
        <w:ind w:firstLine="420"/>
        <w:rPr>
          <w:rFonts w:ascii="仿宋_GB2312" w:hAnsi="Times New Roman" w:cs="Times New Roman"/>
          <w:sz w:val="30"/>
          <w:szCs w:val="30"/>
        </w:rPr>
      </w:pPr>
      <w:r>
        <w:rPr>
          <w:rFonts w:hint="eastAsia" w:ascii="仿宋_GB2312" w:hAnsi="Times New Roman" w:cs="Times New Roman"/>
          <w:sz w:val="30"/>
          <w:szCs w:val="30"/>
        </w:rPr>
        <w:t>本项目互联网+护理服务围绕合规化、标准化、闭环化服务管理要求，核心涵盖首诊准入评估、线上服务申请、线下规范施护、医疗废弃物合规处置四大核心功能，全流程保障居家护理服务安全、可控、可追溯，具体功能规范如下：</w:t>
      </w:r>
    </w:p>
    <w:p w14:paraId="3BD7486A">
      <w:pPr>
        <w:ind w:firstLine="420"/>
        <w:rPr>
          <w:rFonts w:ascii="仿宋_GB2312" w:hAnsi="Times New Roman" w:cs="Times New Roman"/>
          <w:sz w:val="30"/>
          <w:szCs w:val="30"/>
        </w:rPr>
      </w:pPr>
      <w:r>
        <w:rPr>
          <w:rFonts w:hint="eastAsia" w:ascii="仿宋_GB2312" w:hAnsi="Times New Roman" w:cs="Times New Roman"/>
          <w:sz w:val="30"/>
          <w:szCs w:val="30"/>
        </w:rPr>
        <w:t>1）首诊准入评估：开展互联网+居家护理服务前，须由专业医护人员对服务申请人开展标准化首诊评估，全面核查患者病情现状、身体体征、疾病诊疗情况、居家护理适配性及个性化健康服务需求。严格落实服务准入机制，精准判定患者是否符合居家上门护理服务条件，仅对评估合格、适配互联网护理服务的患者，统筹派遣具备对应执业资质、专项技术能力的在岗护士提供上门护理服务，从源头把控医疗服务安全。</w:t>
      </w:r>
    </w:p>
    <w:p w14:paraId="4D01E924">
      <w:pPr>
        <w:ind w:firstLine="420"/>
        <w:rPr>
          <w:rFonts w:ascii="仿宋_GB2312" w:hAnsi="Times New Roman" w:cs="Times New Roman"/>
          <w:sz w:val="30"/>
          <w:szCs w:val="30"/>
        </w:rPr>
      </w:pPr>
      <w:r>
        <w:rPr>
          <w:rFonts w:hint="eastAsia" w:ascii="仿宋_GB2312" w:hAnsi="Times New Roman" w:cs="Times New Roman"/>
          <w:sz w:val="30"/>
          <w:szCs w:val="30"/>
        </w:rPr>
        <w:t>2）线上服务申请：经首诊评估符合服务条件的患者，可通过本项目专属互联网+护理服务平台，自主、线上一键提交护理服务申请，可按需选择临床专科护理、术后康复护理、慢性病专项护理、健康指导等各类合规护理服务项目。平台支持服务需求填报、服务时间预约、服务项目确认等功能，实现患者居家护理需求线上化、便捷化申报。</w:t>
      </w:r>
    </w:p>
    <w:p w14:paraId="5D59F3BA">
      <w:pPr>
        <w:ind w:firstLine="420"/>
        <w:rPr>
          <w:rFonts w:ascii="仿宋_GB2312" w:hAnsi="Times New Roman" w:cs="Times New Roman"/>
          <w:sz w:val="30"/>
          <w:szCs w:val="30"/>
        </w:rPr>
      </w:pPr>
      <w:r>
        <w:rPr>
          <w:rFonts w:hint="eastAsia" w:ascii="仿宋_GB2312" w:hAnsi="Times New Roman" w:cs="Times New Roman"/>
          <w:sz w:val="30"/>
          <w:szCs w:val="30"/>
        </w:rPr>
        <w:t>3）线下规范护理服务：接单护士在开展线下上门护理服务全过程中，须严格遵守医疗卫生相关法律法规、行业职业道德规范、临床护理技术操作标准及医院各项诊疗管理制度，标准化、规范化开展护理操作，严控医疗风险，全面保障医疗质量与患者人身安全。服务全程实行数字化留痕管理，服务过程、操作记录、患者情况、服务结果等各类数据实时录入系统，实现全程可查询、可追溯、可监管，完全满足卫健行业及医院常态化监管要求。</w:t>
      </w:r>
    </w:p>
    <w:p w14:paraId="5EE804C1">
      <w:pPr>
        <w:ind w:firstLine="420"/>
        <w:rPr>
          <w:rFonts w:ascii="仿宋_GB2312" w:hAnsi="Times New Roman" w:cs="Times New Roman"/>
          <w:sz w:val="30"/>
          <w:szCs w:val="30"/>
        </w:rPr>
      </w:pPr>
      <w:r>
        <w:rPr>
          <w:rFonts w:hint="eastAsia" w:ascii="仿宋_GB2312" w:hAnsi="Times New Roman" w:cs="Times New Roman"/>
          <w:sz w:val="30"/>
          <w:szCs w:val="30"/>
        </w:rPr>
        <w:t>4）医疗废弃物合规处置：护士完成居家护理服务后，对服务过程中产生的医疗废弃物、护理污物进行规范化分类、封装、处置，杜绝医疗废物违规留存、丢弃造成的安全隐患。同时，需在服务平台完整录入医疗废弃物处置方式、处置流程及处置结果，完成服务闭环管理，确保全流程合规可控。</w:t>
      </w:r>
    </w:p>
    <w:p w14:paraId="060B4652">
      <w:pPr>
        <w:ind w:firstLine="422"/>
        <w:rPr>
          <w:rFonts w:ascii="仿宋_GB2312"/>
          <w:b/>
          <w:bCs/>
          <w:sz w:val="30"/>
          <w:szCs w:val="30"/>
        </w:rPr>
      </w:pPr>
      <w:r>
        <w:rPr>
          <w:rFonts w:hint="eastAsia" w:ascii="仿宋_GB2312"/>
          <w:b/>
          <w:bCs/>
          <w:sz w:val="30"/>
          <w:szCs w:val="30"/>
        </w:rPr>
        <w:t>（一）用户端</w:t>
      </w:r>
    </w:p>
    <w:p w14:paraId="799561F8">
      <w:pPr>
        <w:ind w:firstLine="420"/>
        <w:rPr>
          <w:rFonts w:ascii="仿宋_GB2312"/>
          <w:bCs/>
          <w:sz w:val="30"/>
          <w:szCs w:val="30"/>
        </w:rPr>
      </w:pPr>
      <w:r>
        <w:rPr>
          <w:rFonts w:hint="eastAsia" w:ascii="仿宋_GB2312"/>
          <w:bCs/>
          <w:sz w:val="30"/>
          <w:szCs w:val="30"/>
        </w:rPr>
        <w:t>（1）登录功能</w:t>
      </w:r>
    </w:p>
    <w:p w14:paraId="72DC7169">
      <w:pPr>
        <w:ind w:firstLine="420"/>
        <w:rPr>
          <w:rFonts w:ascii="仿宋_GB2312"/>
          <w:bCs/>
          <w:sz w:val="30"/>
          <w:szCs w:val="30"/>
        </w:rPr>
      </w:pPr>
      <w:r>
        <w:rPr>
          <w:rFonts w:hint="eastAsia" w:ascii="仿宋_GB2312"/>
          <w:bCs/>
          <w:sz w:val="30"/>
          <w:szCs w:val="30"/>
        </w:rPr>
        <w:t>支持用户首次登录完成注册，可获取手机号授权，同时需完成相关协议勾选，涵盖《用户隐私协议》《儿童隐私保护政策》《用户协议》。</w:t>
      </w:r>
    </w:p>
    <w:p w14:paraId="0DF7AEFA">
      <w:pPr>
        <w:ind w:firstLine="420"/>
        <w:rPr>
          <w:rFonts w:ascii="仿宋_GB2312"/>
          <w:bCs/>
          <w:sz w:val="30"/>
          <w:szCs w:val="30"/>
        </w:rPr>
      </w:pPr>
      <w:r>
        <w:rPr>
          <w:rFonts w:hint="eastAsia" w:ascii="仿宋_GB2312"/>
          <w:bCs/>
          <w:sz w:val="30"/>
          <w:szCs w:val="30"/>
        </w:rPr>
        <w:t>（</w:t>
      </w:r>
      <w:r>
        <w:rPr>
          <w:rFonts w:ascii="仿宋_GB2312"/>
          <w:bCs/>
          <w:sz w:val="30"/>
          <w:szCs w:val="30"/>
        </w:rPr>
        <w:t>2</w:t>
      </w:r>
      <w:r>
        <w:rPr>
          <w:rFonts w:hint="eastAsia" w:ascii="仿宋_GB2312"/>
          <w:bCs/>
          <w:sz w:val="30"/>
          <w:szCs w:val="30"/>
        </w:rPr>
        <w:t>）首页功能</w:t>
      </w:r>
    </w:p>
    <w:p w14:paraId="72005A99">
      <w:pPr>
        <w:ind w:firstLine="420"/>
        <w:rPr>
          <w:rFonts w:ascii="仿宋_GB2312"/>
          <w:bCs/>
          <w:sz w:val="30"/>
          <w:szCs w:val="30"/>
        </w:rPr>
      </w:pPr>
      <w:r>
        <w:rPr>
          <w:rFonts w:hint="eastAsia" w:ascii="仿宋_GB2312"/>
          <w:bCs/>
          <w:sz w:val="30"/>
          <w:szCs w:val="30"/>
        </w:rPr>
        <w:t>1.定位功能：支持自动获取用户当前定位信息，根据用户地理位置，精准展示可提供服务的城市及对应服务项目。</w:t>
      </w:r>
    </w:p>
    <w:p w14:paraId="12A09F1D">
      <w:pPr>
        <w:ind w:firstLine="420"/>
        <w:rPr>
          <w:rFonts w:ascii="仿宋_GB2312"/>
          <w:bCs/>
          <w:sz w:val="30"/>
          <w:szCs w:val="30"/>
        </w:rPr>
      </w:pPr>
      <w:r>
        <w:rPr>
          <w:rFonts w:hint="eastAsia" w:ascii="仿宋_GB2312"/>
          <w:bCs/>
          <w:sz w:val="30"/>
          <w:szCs w:val="30"/>
        </w:rPr>
        <w:t>2.搜索功能：支持用户快速检索疾病、护理服务、合作医院、执业护士等内容，搜索页面可展示用户历史搜索记录及平台热门搜索内容。</w:t>
      </w:r>
    </w:p>
    <w:p w14:paraId="3704D502">
      <w:pPr>
        <w:ind w:firstLine="420"/>
        <w:rPr>
          <w:rFonts w:ascii="仿宋_GB2312"/>
          <w:bCs/>
          <w:sz w:val="30"/>
          <w:szCs w:val="30"/>
        </w:rPr>
      </w:pPr>
      <w:r>
        <w:rPr>
          <w:rFonts w:hint="eastAsia" w:ascii="仿宋_GB2312"/>
          <w:bCs/>
          <w:sz w:val="30"/>
          <w:szCs w:val="30"/>
        </w:rPr>
        <w:t>3.订单工单快速查询功能：首页设置待支付、待使用、服务中、待评价订单快捷入口，通过红色角标提示用户未处理订单，用户可点击对应入口完成支付、预约、评价等相关操作。</w:t>
      </w:r>
    </w:p>
    <w:p w14:paraId="4F6C6D6A">
      <w:pPr>
        <w:ind w:firstLine="420"/>
        <w:rPr>
          <w:rFonts w:ascii="仿宋_GB2312"/>
          <w:bCs/>
          <w:sz w:val="30"/>
          <w:szCs w:val="30"/>
        </w:rPr>
      </w:pPr>
      <w:r>
        <w:rPr>
          <w:rFonts w:hint="eastAsia" w:ascii="仿宋_GB2312"/>
          <w:bCs/>
          <w:sz w:val="30"/>
          <w:szCs w:val="30"/>
        </w:rPr>
        <w:t>4.项目分类导航功能：展示平台全部护理服务类型，严格按照后台预设排序规则呈现分类内容。</w:t>
      </w:r>
    </w:p>
    <w:p w14:paraId="0DAE647C">
      <w:pPr>
        <w:ind w:firstLine="420"/>
        <w:rPr>
          <w:rFonts w:ascii="仿宋_GB2312"/>
          <w:bCs/>
          <w:sz w:val="30"/>
          <w:szCs w:val="30"/>
        </w:rPr>
      </w:pPr>
      <w:r>
        <w:rPr>
          <w:rFonts w:hint="eastAsia" w:ascii="仿宋_GB2312"/>
          <w:bCs/>
          <w:sz w:val="30"/>
          <w:szCs w:val="30"/>
        </w:rPr>
        <w:t>5.Banner页功能：支持后台配置首页广告位，可根据合作机构需求、区域服务特点开展定向广告投放。</w:t>
      </w:r>
    </w:p>
    <w:p w14:paraId="7651AEE1">
      <w:pPr>
        <w:ind w:firstLine="420"/>
        <w:rPr>
          <w:rFonts w:ascii="仿宋_GB2312"/>
          <w:bCs/>
          <w:sz w:val="30"/>
          <w:szCs w:val="30"/>
        </w:rPr>
      </w:pPr>
      <w:r>
        <w:rPr>
          <w:rFonts w:hint="eastAsia" w:ascii="仿宋_GB2312"/>
          <w:bCs/>
          <w:sz w:val="30"/>
          <w:szCs w:val="30"/>
        </w:rPr>
        <w:t>6.健康科普功能：为用户提供健康科普文章浏览查阅通道，助力用户获取专业护理及健康知识。</w:t>
      </w:r>
    </w:p>
    <w:p w14:paraId="36AED2AB">
      <w:pPr>
        <w:ind w:firstLine="420"/>
        <w:rPr>
          <w:rFonts w:ascii="仿宋_GB2312"/>
          <w:bCs/>
          <w:sz w:val="30"/>
          <w:szCs w:val="30"/>
        </w:rPr>
      </w:pPr>
      <w:r>
        <w:rPr>
          <w:rFonts w:hint="eastAsia" w:ascii="仿宋_GB2312"/>
          <w:bCs/>
          <w:sz w:val="30"/>
          <w:szCs w:val="30"/>
        </w:rPr>
        <w:t>7.专家咨询功能：支持用户购买指定专家的在线咨询服务，购买成功后，可通过图文、短语音等形式与专家开展线上沟通问诊。</w:t>
      </w:r>
    </w:p>
    <w:p w14:paraId="6BD4B75F">
      <w:pPr>
        <w:ind w:firstLine="420"/>
        <w:rPr>
          <w:rFonts w:ascii="仿宋_GB2312"/>
          <w:bCs/>
          <w:sz w:val="30"/>
          <w:szCs w:val="30"/>
        </w:rPr>
      </w:pPr>
      <w:r>
        <w:rPr>
          <w:rFonts w:hint="eastAsia" w:ascii="仿宋_GB2312"/>
          <w:bCs/>
          <w:sz w:val="30"/>
          <w:szCs w:val="30"/>
        </w:rPr>
        <w:t>8.专科咨询功能：支持用户购买对应专科诊室的在线咨询服务，由诊室护士抢单对接，抢单成功后，通过图文、短语音等方式为用户提供咨询服务。</w:t>
      </w:r>
    </w:p>
    <w:p w14:paraId="5A8B9BC4">
      <w:pPr>
        <w:ind w:firstLine="420"/>
        <w:rPr>
          <w:rFonts w:ascii="仿宋_GB2312"/>
          <w:bCs/>
          <w:sz w:val="30"/>
          <w:szCs w:val="30"/>
        </w:rPr>
      </w:pPr>
      <w:r>
        <w:rPr>
          <w:rFonts w:hint="eastAsia" w:ascii="仿宋_GB2312"/>
          <w:bCs/>
          <w:sz w:val="30"/>
          <w:szCs w:val="30"/>
        </w:rPr>
        <w:t>9.服务展示功能：支持多维度展示平台服务内容，一是根据用户定位城市、合作机构及院区，展示可提供的上门护理单项服务；二是对应区域展示合规的上门护理服务套餐；三是按照距离远近排序，展示用户定位城市范围内的合作医疗机构信息，方便用户多渠道查找所需护理服务。</w:t>
      </w:r>
    </w:p>
    <w:p w14:paraId="38E3898B">
      <w:pPr>
        <w:ind w:firstLine="420"/>
        <w:rPr>
          <w:rFonts w:ascii="仿宋_GB2312"/>
          <w:bCs/>
          <w:sz w:val="30"/>
          <w:szCs w:val="30"/>
        </w:rPr>
      </w:pPr>
      <w:r>
        <w:rPr>
          <w:rFonts w:hint="eastAsia" w:ascii="仿宋_GB2312"/>
          <w:bCs/>
          <w:sz w:val="30"/>
          <w:szCs w:val="30"/>
        </w:rPr>
        <w:t>（</w:t>
      </w:r>
      <w:r>
        <w:rPr>
          <w:rFonts w:ascii="仿宋_GB2312"/>
          <w:bCs/>
          <w:sz w:val="30"/>
          <w:szCs w:val="30"/>
        </w:rPr>
        <w:t>3</w:t>
      </w:r>
      <w:r>
        <w:rPr>
          <w:rFonts w:hint="eastAsia" w:ascii="仿宋_GB2312"/>
          <w:bCs/>
          <w:sz w:val="30"/>
          <w:szCs w:val="30"/>
        </w:rPr>
        <w:t>）服务预约功能</w:t>
      </w:r>
    </w:p>
    <w:p w14:paraId="0C205D16">
      <w:pPr>
        <w:ind w:firstLine="420"/>
        <w:rPr>
          <w:rFonts w:ascii="仿宋_GB2312"/>
          <w:bCs/>
          <w:sz w:val="30"/>
          <w:szCs w:val="30"/>
        </w:rPr>
      </w:pPr>
      <w:r>
        <w:rPr>
          <w:rFonts w:hint="eastAsia" w:ascii="仿宋_GB2312"/>
          <w:bCs/>
          <w:sz w:val="30"/>
          <w:szCs w:val="30"/>
        </w:rPr>
        <w:t>1.服务详情展示与预约：支持完整展示服务项目详情，包含服务规格、服务价格、服务介绍、服务须知、适用人群、退费规则、收费说明等全部信息；支持用户切换合作医院，选择已完成实名认证的服务对象及预设上门服务地址；预约过程中可填写疾病诊断、身体症状、上传历史诊断证明、病情资料等服务申请信息；支持用户自主填写期望服务时间，可选择指定护士上门或由平台智能指派护士；用户需在线阅读并确认《知情同意书》等相关文件后，方可完成预约下单操作。</w:t>
      </w:r>
    </w:p>
    <w:p w14:paraId="509FC253">
      <w:pPr>
        <w:ind w:firstLine="420"/>
        <w:rPr>
          <w:rFonts w:ascii="仿宋_GB2312"/>
          <w:bCs/>
          <w:sz w:val="30"/>
          <w:szCs w:val="30"/>
        </w:rPr>
      </w:pPr>
      <w:r>
        <w:rPr>
          <w:rFonts w:hint="eastAsia" w:ascii="仿宋_GB2312"/>
          <w:bCs/>
          <w:sz w:val="30"/>
          <w:szCs w:val="30"/>
        </w:rPr>
        <w:t>2.服务支付功能：平台可自动核算服务基础费用、耗材费用，结合地图导航数据自动计算上门交通费用，汇总生成总服务费用；支持用户线上完成全部费用支付操作。</w:t>
      </w:r>
    </w:p>
    <w:p w14:paraId="1BEEBFDF">
      <w:pPr>
        <w:ind w:firstLine="420"/>
        <w:rPr>
          <w:rFonts w:ascii="仿宋_GB2312"/>
          <w:bCs/>
          <w:sz w:val="30"/>
          <w:szCs w:val="30"/>
        </w:rPr>
      </w:pPr>
      <w:r>
        <w:rPr>
          <w:rFonts w:hint="eastAsia" w:ascii="仿宋_GB2312"/>
          <w:bCs/>
          <w:sz w:val="30"/>
          <w:szCs w:val="30"/>
        </w:rPr>
        <w:t>（</w:t>
      </w:r>
      <w:r>
        <w:rPr>
          <w:rFonts w:ascii="仿宋_GB2312"/>
          <w:bCs/>
          <w:sz w:val="30"/>
          <w:szCs w:val="30"/>
        </w:rPr>
        <w:t>4</w:t>
      </w:r>
      <w:r>
        <w:rPr>
          <w:rFonts w:hint="eastAsia" w:ascii="仿宋_GB2312"/>
          <w:bCs/>
          <w:sz w:val="30"/>
          <w:szCs w:val="30"/>
        </w:rPr>
        <w:t>）订单功能</w:t>
      </w:r>
    </w:p>
    <w:p w14:paraId="3143A00F">
      <w:pPr>
        <w:ind w:firstLine="420"/>
        <w:rPr>
          <w:rFonts w:ascii="仿宋_GB2312"/>
          <w:bCs/>
          <w:sz w:val="30"/>
          <w:szCs w:val="30"/>
        </w:rPr>
      </w:pPr>
      <w:r>
        <w:rPr>
          <w:rFonts w:hint="eastAsia" w:ascii="仿宋_GB2312"/>
          <w:bCs/>
          <w:sz w:val="30"/>
          <w:szCs w:val="30"/>
        </w:rPr>
        <w:t>1.全部订单：支持用户查询所有历史订单，可查看完整订单信息、服务明细、交易快照等信息。</w:t>
      </w:r>
    </w:p>
    <w:p w14:paraId="0A603552">
      <w:pPr>
        <w:ind w:firstLine="420"/>
        <w:rPr>
          <w:rFonts w:ascii="仿宋_GB2312"/>
          <w:bCs/>
          <w:sz w:val="30"/>
          <w:szCs w:val="30"/>
        </w:rPr>
      </w:pPr>
      <w:r>
        <w:rPr>
          <w:rFonts w:hint="eastAsia" w:ascii="仿宋_GB2312"/>
          <w:bCs/>
          <w:sz w:val="30"/>
          <w:szCs w:val="30"/>
        </w:rPr>
        <w:t>2.待支付订单：支持展示上门服务订单、后付费耗材订单的待支付状态，用户可查看订单详情、自主取消订单或一键发起支付。</w:t>
      </w:r>
    </w:p>
    <w:p w14:paraId="27EA4469">
      <w:pPr>
        <w:ind w:firstLine="420"/>
        <w:rPr>
          <w:rFonts w:ascii="仿宋_GB2312"/>
          <w:bCs/>
          <w:sz w:val="30"/>
          <w:szCs w:val="30"/>
        </w:rPr>
      </w:pPr>
      <w:r>
        <w:rPr>
          <w:rFonts w:hint="eastAsia" w:ascii="仿宋_GB2312"/>
          <w:bCs/>
          <w:sz w:val="30"/>
          <w:szCs w:val="30"/>
        </w:rPr>
        <w:t>3.待服务订单：展示尚未完成的上门服务订单，用户可针对订单剩余服务次数继续预约服务，也可根据规则提交退款申请。</w:t>
      </w:r>
    </w:p>
    <w:p w14:paraId="614F3DC5">
      <w:pPr>
        <w:ind w:firstLine="420"/>
        <w:rPr>
          <w:rFonts w:ascii="仿宋_GB2312"/>
          <w:bCs/>
          <w:sz w:val="30"/>
          <w:szCs w:val="30"/>
        </w:rPr>
      </w:pPr>
      <w:r>
        <w:rPr>
          <w:rFonts w:hint="eastAsia" w:ascii="仿宋_GB2312"/>
          <w:bCs/>
          <w:sz w:val="30"/>
          <w:szCs w:val="30"/>
        </w:rPr>
        <w:t>4.待评价订单：汇总展示已完成的上门护理服务、线上咨询服务订单，提醒用户完成服务评价。</w:t>
      </w:r>
    </w:p>
    <w:p w14:paraId="38018F4D">
      <w:pPr>
        <w:ind w:firstLine="420"/>
        <w:rPr>
          <w:rFonts w:ascii="仿宋_GB2312"/>
          <w:bCs/>
          <w:sz w:val="30"/>
          <w:szCs w:val="30"/>
        </w:rPr>
      </w:pPr>
      <w:r>
        <w:rPr>
          <w:rFonts w:hint="eastAsia" w:ascii="仿宋_GB2312"/>
          <w:bCs/>
          <w:sz w:val="30"/>
          <w:szCs w:val="30"/>
        </w:rPr>
        <w:t>（</w:t>
      </w:r>
      <w:r>
        <w:rPr>
          <w:rFonts w:ascii="仿宋_GB2312"/>
          <w:bCs/>
          <w:sz w:val="30"/>
          <w:szCs w:val="30"/>
        </w:rPr>
        <w:t>5</w:t>
      </w:r>
      <w:r>
        <w:rPr>
          <w:rFonts w:hint="eastAsia" w:ascii="仿宋_GB2312"/>
          <w:bCs/>
          <w:sz w:val="30"/>
          <w:szCs w:val="30"/>
        </w:rPr>
        <w:t>）消息功能</w:t>
      </w:r>
    </w:p>
    <w:p w14:paraId="2EE3438E">
      <w:pPr>
        <w:ind w:firstLine="420"/>
        <w:rPr>
          <w:rFonts w:ascii="仿宋_GB2312"/>
          <w:bCs/>
          <w:sz w:val="30"/>
          <w:szCs w:val="30"/>
        </w:rPr>
      </w:pPr>
      <w:r>
        <w:rPr>
          <w:rFonts w:hint="eastAsia" w:ascii="仿宋_GB2312"/>
          <w:bCs/>
          <w:sz w:val="30"/>
          <w:szCs w:val="30"/>
        </w:rPr>
        <w:t>1.消息列表：实时接收平台各类消息通知，包含系统公告、服务进度更新、护士咨询留言提醒等内容。</w:t>
      </w:r>
    </w:p>
    <w:p w14:paraId="5FA37C78">
      <w:pPr>
        <w:ind w:firstLine="420"/>
        <w:rPr>
          <w:rFonts w:ascii="仿宋_GB2312"/>
          <w:bCs/>
          <w:sz w:val="30"/>
          <w:szCs w:val="30"/>
        </w:rPr>
      </w:pPr>
      <w:r>
        <w:rPr>
          <w:rFonts w:hint="eastAsia" w:ascii="仿宋_GB2312"/>
          <w:bCs/>
          <w:sz w:val="30"/>
          <w:szCs w:val="30"/>
        </w:rPr>
        <w:t>2.未接来电：自动记录并展示护士、平台运营人员的未接来电列表，方便用户回溯对接。</w:t>
      </w:r>
    </w:p>
    <w:p w14:paraId="1DEAF84A">
      <w:pPr>
        <w:ind w:firstLine="420"/>
        <w:rPr>
          <w:rFonts w:ascii="仿宋_GB2312"/>
          <w:bCs/>
          <w:sz w:val="30"/>
          <w:szCs w:val="30"/>
        </w:rPr>
      </w:pPr>
      <w:r>
        <w:rPr>
          <w:rFonts w:hint="eastAsia" w:ascii="仿宋_GB2312"/>
          <w:bCs/>
          <w:sz w:val="30"/>
          <w:szCs w:val="30"/>
        </w:rPr>
        <w:t>（</w:t>
      </w:r>
      <w:r>
        <w:rPr>
          <w:rFonts w:ascii="仿宋_GB2312"/>
          <w:bCs/>
          <w:sz w:val="30"/>
          <w:szCs w:val="30"/>
        </w:rPr>
        <w:t>6</w:t>
      </w:r>
      <w:r>
        <w:rPr>
          <w:rFonts w:hint="eastAsia" w:ascii="仿宋_GB2312"/>
          <w:bCs/>
          <w:sz w:val="30"/>
          <w:szCs w:val="30"/>
        </w:rPr>
        <w:t>）个人中心（我的）功能</w:t>
      </w:r>
    </w:p>
    <w:p w14:paraId="5A43E98D">
      <w:pPr>
        <w:ind w:firstLine="420"/>
        <w:rPr>
          <w:rFonts w:ascii="仿宋_GB2312"/>
          <w:bCs/>
          <w:sz w:val="30"/>
          <w:szCs w:val="30"/>
        </w:rPr>
      </w:pPr>
      <w:r>
        <w:rPr>
          <w:rFonts w:hint="eastAsia" w:ascii="仿宋_GB2312"/>
          <w:bCs/>
          <w:sz w:val="30"/>
          <w:szCs w:val="30"/>
        </w:rPr>
        <w:t>1.服务对象（含实名认证）：支持用户查看、管理已创建的服务对象信息，可自主新增、编辑、删除服务对象；新增服务对象时，可填写证件类型、证件号码、手机号码，完成实名信息认证。</w:t>
      </w:r>
    </w:p>
    <w:p w14:paraId="7A63A8AD">
      <w:pPr>
        <w:ind w:firstLine="420"/>
        <w:rPr>
          <w:rFonts w:ascii="仿宋_GB2312"/>
          <w:bCs/>
          <w:sz w:val="30"/>
          <w:szCs w:val="30"/>
        </w:rPr>
      </w:pPr>
      <w:r>
        <w:rPr>
          <w:rFonts w:hint="eastAsia" w:ascii="仿宋_GB2312"/>
          <w:bCs/>
          <w:sz w:val="30"/>
          <w:szCs w:val="30"/>
        </w:rPr>
        <w:t>2.服务地址：支持用户查看已保存的上门服务地址，可自主新增地址、编辑地址信息，可设置常用默认服务地址。</w:t>
      </w:r>
    </w:p>
    <w:p w14:paraId="5C4AE89C">
      <w:pPr>
        <w:ind w:firstLine="420"/>
        <w:rPr>
          <w:rFonts w:ascii="仿宋_GB2312"/>
          <w:bCs/>
          <w:sz w:val="30"/>
          <w:szCs w:val="30"/>
        </w:rPr>
      </w:pPr>
      <w:r>
        <w:rPr>
          <w:rFonts w:hint="eastAsia" w:ascii="仿宋_GB2312"/>
          <w:bCs/>
          <w:sz w:val="30"/>
          <w:szCs w:val="30"/>
        </w:rPr>
        <w:t>3.我的关注：集中展示用户已关注的护理人员、服务套餐、上门单项服务等内容。</w:t>
      </w:r>
    </w:p>
    <w:p w14:paraId="40CA9AF0">
      <w:pPr>
        <w:ind w:firstLine="420"/>
        <w:rPr>
          <w:rFonts w:ascii="仿宋_GB2312"/>
          <w:bCs/>
          <w:sz w:val="30"/>
          <w:szCs w:val="30"/>
        </w:rPr>
      </w:pPr>
      <w:r>
        <w:rPr>
          <w:rFonts w:hint="eastAsia" w:ascii="仿宋_GB2312"/>
          <w:bCs/>
          <w:sz w:val="30"/>
          <w:szCs w:val="30"/>
        </w:rPr>
        <w:t>4.优惠券：支持用户查看个人账户下的全部优惠券，区分展示未使用、已过期的优惠券明细。</w:t>
      </w:r>
    </w:p>
    <w:p w14:paraId="37A6C31A">
      <w:pPr>
        <w:ind w:firstLine="420"/>
        <w:rPr>
          <w:rFonts w:ascii="仿宋_GB2312"/>
          <w:bCs/>
          <w:sz w:val="30"/>
          <w:szCs w:val="30"/>
        </w:rPr>
      </w:pPr>
      <w:r>
        <w:rPr>
          <w:rFonts w:hint="eastAsia" w:ascii="仿宋_GB2312"/>
          <w:bCs/>
          <w:sz w:val="30"/>
          <w:szCs w:val="30"/>
        </w:rPr>
        <w:t>5.客服和帮助：提供多渠道售后对接方式，包含客服电话对接、意见反馈；同时支持用户查看平台常见问题解答，自主解决服务相关问题。</w:t>
      </w:r>
    </w:p>
    <w:p w14:paraId="13979517">
      <w:pPr>
        <w:ind w:firstLine="420"/>
        <w:rPr>
          <w:rFonts w:ascii="仿宋_GB2312"/>
          <w:bCs/>
          <w:sz w:val="30"/>
          <w:szCs w:val="30"/>
        </w:rPr>
      </w:pPr>
      <w:r>
        <w:rPr>
          <w:rFonts w:hint="eastAsia" w:ascii="仿宋_GB2312"/>
          <w:bCs/>
          <w:sz w:val="30"/>
          <w:szCs w:val="30"/>
        </w:rPr>
        <w:t>6.退款/售后：支持用户查询全部退款订单、处理中退款订单的进度及详情。</w:t>
      </w:r>
    </w:p>
    <w:p w14:paraId="393F4243">
      <w:pPr>
        <w:ind w:firstLine="420"/>
        <w:rPr>
          <w:rFonts w:ascii="仿宋_GB2312"/>
          <w:bCs/>
          <w:sz w:val="30"/>
          <w:szCs w:val="30"/>
        </w:rPr>
      </w:pPr>
      <w:r>
        <w:rPr>
          <w:rFonts w:hint="eastAsia" w:ascii="仿宋_GB2312"/>
          <w:bCs/>
          <w:sz w:val="30"/>
          <w:szCs w:val="30"/>
        </w:rPr>
        <w:t>7.护理计划：支持用户查看由出院科室护士为其专属创建的居家护理计划内容。</w:t>
      </w:r>
    </w:p>
    <w:p w14:paraId="4ADDD2F0">
      <w:pPr>
        <w:ind w:firstLine="420"/>
        <w:rPr>
          <w:rFonts w:ascii="仿宋_GB2312"/>
          <w:bCs/>
          <w:sz w:val="30"/>
          <w:szCs w:val="30"/>
        </w:rPr>
      </w:pPr>
      <w:r>
        <w:rPr>
          <w:rFonts w:hint="eastAsia" w:ascii="仿宋_GB2312"/>
          <w:bCs/>
          <w:sz w:val="30"/>
          <w:szCs w:val="30"/>
        </w:rPr>
        <w:t>8.平台协议：支持用户随时查阅《用户隐私协议》《儿童隐私保护政策》《用户协议》等平台官方协议文件。</w:t>
      </w:r>
    </w:p>
    <w:p w14:paraId="3AF22FC8">
      <w:pPr>
        <w:ind w:firstLine="420"/>
        <w:rPr>
          <w:rFonts w:ascii="仿宋_GB2312"/>
          <w:bCs/>
          <w:sz w:val="30"/>
          <w:szCs w:val="30"/>
        </w:rPr>
      </w:pPr>
      <w:r>
        <w:rPr>
          <w:rFonts w:hint="eastAsia" w:ascii="仿宋_GB2312"/>
          <w:bCs/>
          <w:sz w:val="30"/>
          <w:szCs w:val="30"/>
        </w:rPr>
        <w:t>9.微信设置：支持用户自主管理微信端消息通知权限、位置授权等相关微信配置。</w:t>
      </w:r>
    </w:p>
    <w:p w14:paraId="781FE963">
      <w:pPr>
        <w:ind w:firstLine="420"/>
        <w:rPr>
          <w:rFonts w:ascii="仿宋_GB2312"/>
          <w:bCs/>
          <w:sz w:val="30"/>
          <w:szCs w:val="30"/>
        </w:rPr>
      </w:pPr>
      <w:r>
        <w:rPr>
          <w:rFonts w:hint="eastAsia" w:ascii="仿宋_GB2312"/>
          <w:bCs/>
          <w:sz w:val="30"/>
          <w:szCs w:val="30"/>
        </w:rPr>
        <w:t>10.账号注销：提供账号注销功能，支持用户自主申请注销平台账号。</w:t>
      </w:r>
    </w:p>
    <w:p w14:paraId="7B498415">
      <w:pPr>
        <w:ind w:firstLine="422"/>
        <w:rPr>
          <w:rFonts w:ascii="仿宋_GB2312"/>
          <w:b/>
          <w:bCs/>
          <w:sz w:val="30"/>
          <w:szCs w:val="30"/>
        </w:rPr>
      </w:pPr>
      <w:r>
        <w:rPr>
          <w:rFonts w:hint="eastAsia" w:ascii="仿宋_GB2312"/>
          <w:b/>
          <w:bCs/>
          <w:sz w:val="30"/>
          <w:szCs w:val="30"/>
        </w:rPr>
        <w:t>（二）护士端-APP</w:t>
      </w:r>
    </w:p>
    <w:p w14:paraId="4E5D030D">
      <w:pPr>
        <w:ind w:firstLine="420"/>
        <w:rPr>
          <w:rFonts w:ascii="仿宋_GB2312"/>
          <w:bCs/>
          <w:sz w:val="30"/>
          <w:szCs w:val="30"/>
        </w:rPr>
      </w:pPr>
      <w:r>
        <w:rPr>
          <w:rFonts w:hint="eastAsia" w:ascii="仿宋_GB2312"/>
          <w:bCs/>
          <w:sz w:val="30"/>
          <w:szCs w:val="30"/>
        </w:rPr>
        <w:t>（1）护士主管/运营工作台功能</w:t>
      </w:r>
    </w:p>
    <w:p w14:paraId="614AF970">
      <w:pPr>
        <w:ind w:firstLine="420"/>
        <w:rPr>
          <w:rFonts w:ascii="仿宋_GB2312"/>
          <w:bCs/>
          <w:sz w:val="30"/>
          <w:szCs w:val="30"/>
        </w:rPr>
      </w:pPr>
      <w:r>
        <w:rPr>
          <w:rFonts w:hint="eastAsia" w:ascii="仿宋_GB2312"/>
          <w:bCs/>
          <w:sz w:val="30"/>
          <w:szCs w:val="30"/>
        </w:rPr>
        <w:t>1.派单功能：支持机构管理员查看可指派的工单列表，查阅工单详细信息，可对合规工单进行人工指派操作。</w:t>
      </w:r>
    </w:p>
    <w:p w14:paraId="14503739">
      <w:pPr>
        <w:ind w:firstLine="420"/>
        <w:rPr>
          <w:rFonts w:ascii="仿宋_GB2312"/>
          <w:bCs/>
          <w:sz w:val="30"/>
          <w:szCs w:val="30"/>
        </w:rPr>
      </w:pPr>
      <w:r>
        <w:rPr>
          <w:rFonts w:hint="eastAsia" w:ascii="仿宋_GB2312"/>
          <w:bCs/>
          <w:sz w:val="30"/>
          <w:szCs w:val="30"/>
        </w:rPr>
        <w:t>2.变更功能：支持机构管理员对已生成工单进行运维调整，包含工单信息修改、工单中止、工单改派；其中工单修改可支持调整服务地址、预约服务时间等核心信息。</w:t>
      </w:r>
    </w:p>
    <w:p w14:paraId="64635102">
      <w:pPr>
        <w:ind w:firstLine="420"/>
        <w:rPr>
          <w:rFonts w:ascii="仿宋_GB2312"/>
          <w:bCs/>
          <w:sz w:val="30"/>
          <w:szCs w:val="30"/>
        </w:rPr>
      </w:pPr>
      <w:r>
        <w:rPr>
          <w:rFonts w:hint="eastAsia" w:ascii="仿宋_GB2312"/>
          <w:bCs/>
          <w:sz w:val="30"/>
          <w:szCs w:val="30"/>
        </w:rPr>
        <w:t>3.超时提醒功能：支持机构管理员接收全流程超时预警提醒，涵盖派单超时、接单超时、出门超时等各类超时场景消息提醒，同时可查看对应超时工单列表，及时跟进处置。</w:t>
      </w:r>
    </w:p>
    <w:p w14:paraId="5127A89F">
      <w:pPr>
        <w:ind w:firstLine="420"/>
        <w:rPr>
          <w:rFonts w:ascii="仿宋_GB2312"/>
          <w:bCs/>
          <w:sz w:val="30"/>
          <w:szCs w:val="30"/>
        </w:rPr>
      </w:pPr>
      <w:r>
        <w:rPr>
          <w:rFonts w:hint="eastAsia" w:ascii="仿宋_GB2312"/>
          <w:bCs/>
          <w:sz w:val="30"/>
          <w:szCs w:val="30"/>
        </w:rPr>
        <w:t>4.工单查询功能：支持机构管理员多维度检索工单数据，可按照工单创建时间、工单状态、服务标签、服务对象、服务对象联系方式、服务单号、服务人员等条件进行精准筛选查询。</w:t>
      </w:r>
    </w:p>
    <w:p w14:paraId="797CAF01">
      <w:pPr>
        <w:ind w:firstLine="420"/>
        <w:rPr>
          <w:rFonts w:ascii="仿宋_GB2312"/>
          <w:bCs/>
          <w:sz w:val="30"/>
          <w:szCs w:val="30"/>
        </w:rPr>
      </w:pPr>
      <w:r>
        <w:rPr>
          <w:rFonts w:hint="eastAsia" w:ascii="仿宋_GB2312"/>
          <w:bCs/>
          <w:sz w:val="30"/>
          <w:szCs w:val="30"/>
        </w:rPr>
        <w:t>5.审批管理功能：支持机构管理员开展各类线上审批工作，包含护士申请的服务项目新增/删除、服务院区新增/删除、护士注册信息审核等审批事项。</w:t>
      </w:r>
    </w:p>
    <w:p w14:paraId="3F52B200">
      <w:pPr>
        <w:ind w:firstLine="420"/>
        <w:rPr>
          <w:rFonts w:ascii="仿宋_GB2312"/>
          <w:bCs/>
          <w:sz w:val="30"/>
          <w:szCs w:val="30"/>
        </w:rPr>
      </w:pPr>
      <w:r>
        <w:rPr>
          <w:rFonts w:hint="eastAsia" w:ascii="仿宋_GB2312"/>
          <w:bCs/>
          <w:sz w:val="30"/>
          <w:szCs w:val="30"/>
        </w:rPr>
        <w:t>6.退款审核功能：支持机构管理员处理两类退款申请，分别为患者提交的订单退款申请、护士提交的基础耗材包退款申请，可在线完成审核、确认、驳回等全流程操作。</w:t>
      </w:r>
    </w:p>
    <w:p w14:paraId="62836E8F">
      <w:pPr>
        <w:ind w:firstLine="420"/>
        <w:rPr>
          <w:rFonts w:ascii="仿宋_GB2312"/>
          <w:bCs/>
          <w:sz w:val="30"/>
          <w:szCs w:val="30"/>
        </w:rPr>
      </w:pPr>
      <w:r>
        <w:rPr>
          <w:rFonts w:hint="eastAsia" w:ascii="仿宋_GB2312"/>
          <w:bCs/>
          <w:sz w:val="30"/>
          <w:szCs w:val="30"/>
        </w:rPr>
        <w:t>7.报警预警功能：支持机构管理员接收服务完成超时报警提醒，针对超出原定计划完成时间30分钟的上门护理服务，及时触发预警，便于管理员及时介入干预、跟进服务进度。</w:t>
      </w:r>
    </w:p>
    <w:p w14:paraId="67354581">
      <w:pPr>
        <w:ind w:firstLine="420"/>
        <w:rPr>
          <w:rFonts w:ascii="仿宋_GB2312"/>
          <w:bCs/>
          <w:sz w:val="30"/>
          <w:szCs w:val="30"/>
        </w:rPr>
      </w:pPr>
      <w:r>
        <w:rPr>
          <w:rFonts w:hint="eastAsia" w:ascii="仿宋_GB2312"/>
          <w:bCs/>
          <w:sz w:val="30"/>
          <w:szCs w:val="30"/>
        </w:rPr>
        <w:t>（2）护士工作台功能</w:t>
      </w:r>
    </w:p>
    <w:p w14:paraId="01B852BD">
      <w:pPr>
        <w:ind w:firstLine="420"/>
        <w:rPr>
          <w:rFonts w:ascii="仿宋_GB2312"/>
          <w:bCs/>
          <w:sz w:val="30"/>
          <w:szCs w:val="30"/>
        </w:rPr>
      </w:pPr>
      <w:r>
        <w:rPr>
          <w:rFonts w:hint="eastAsia" w:ascii="仿宋_GB2312"/>
          <w:bCs/>
          <w:sz w:val="30"/>
          <w:szCs w:val="30"/>
        </w:rPr>
        <w:t>1.代客下单功能：支持护士代为填写服务对象信息、服务申请相关资料，协助用户完成居家护理服务项目、服务套餐的预约下单操作。预约确认后，系统支持向用户推送短信付费、二维码付费等多种付费渠道，方便用户线上缴费。</w:t>
      </w:r>
    </w:p>
    <w:p w14:paraId="174ACD37">
      <w:pPr>
        <w:ind w:firstLine="420"/>
        <w:rPr>
          <w:rFonts w:ascii="仿宋_GB2312"/>
          <w:bCs/>
          <w:sz w:val="30"/>
          <w:szCs w:val="30"/>
        </w:rPr>
      </w:pPr>
      <w:r>
        <w:rPr>
          <w:rFonts w:hint="eastAsia" w:ascii="仿宋_GB2312"/>
          <w:bCs/>
          <w:sz w:val="30"/>
          <w:szCs w:val="30"/>
        </w:rPr>
        <w:t>2.由我代建功能：支持护士集中查看本人所有代用户下单的历史记录，便于台账核对、服务跟进。</w:t>
      </w:r>
    </w:p>
    <w:p w14:paraId="2BAF856F">
      <w:pPr>
        <w:ind w:firstLine="420"/>
        <w:rPr>
          <w:rFonts w:ascii="仿宋_GB2312"/>
          <w:bCs/>
          <w:sz w:val="30"/>
          <w:szCs w:val="30"/>
        </w:rPr>
      </w:pPr>
      <w:r>
        <w:rPr>
          <w:rFonts w:hint="eastAsia" w:ascii="仿宋_GB2312"/>
          <w:bCs/>
          <w:sz w:val="30"/>
          <w:szCs w:val="30"/>
        </w:rPr>
        <w:t>3.需求单功能：支持护士自主创建患者服务需求单，由平台运营人员对接患者，跟进需求转化，最终形成正式服务订单。</w:t>
      </w:r>
    </w:p>
    <w:p w14:paraId="079EC4A0">
      <w:pPr>
        <w:ind w:firstLine="420"/>
        <w:rPr>
          <w:rFonts w:ascii="仿宋_GB2312"/>
          <w:bCs/>
          <w:sz w:val="30"/>
          <w:szCs w:val="30"/>
        </w:rPr>
      </w:pPr>
      <w:r>
        <w:rPr>
          <w:rFonts w:hint="eastAsia" w:ascii="仿宋_GB2312"/>
          <w:bCs/>
          <w:sz w:val="30"/>
          <w:szCs w:val="30"/>
        </w:rPr>
        <w:t>4.护理计划功能：支持护士为患者创建专属居家护理计划；支持患者通过扫描专属二维码自主填写信息、生成护理计划，同时支持护士直接手动创建护理计划。</w:t>
      </w:r>
    </w:p>
    <w:p w14:paraId="70E9E4AC">
      <w:pPr>
        <w:ind w:firstLine="420"/>
        <w:rPr>
          <w:rFonts w:ascii="仿宋_GB2312"/>
          <w:bCs/>
          <w:sz w:val="30"/>
          <w:szCs w:val="30"/>
        </w:rPr>
      </w:pPr>
      <w:r>
        <w:rPr>
          <w:rFonts w:hint="eastAsia" w:ascii="仿宋_GB2312"/>
          <w:bCs/>
          <w:sz w:val="30"/>
          <w:szCs w:val="30"/>
        </w:rPr>
        <w:t>5.健康科普功能：支持护士将平台健康科普文章一键分享至微信好友、微信朋友圈，助力健康宣教工作开展。</w:t>
      </w:r>
    </w:p>
    <w:p w14:paraId="57F67D50">
      <w:pPr>
        <w:ind w:firstLine="420"/>
        <w:rPr>
          <w:rFonts w:ascii="仿宋_GB2312"/>
          <w:bCs/>
          <w:sz w:val="30"/>
          <w:szCs w:val="30"/>
        </w:rPr>
      </w:pPr>
      <w:r>
        <w:rPr>
          <w:rFonts w:hint="eastAsia" w:ascii="仿宋_GB2312"/>
          <w:bCs/>
          <w:sz w:val="30"/>
          <w:szCs w:val="30"/>
        </w:rPr>
        <w:t>6.截图水印功能：支持运营人员、在岗服务护士在平台任意页面进行截图操作时，自动加载用户姓名信息生成截图水印，有效保护患者隐私，杜绝信息泄露风险。</w:t>
      </w:r>
    </w:p>
    <w:p w14:paraId="26325662">
      <w:pPr>
        <w:ind w:firstLine="420"/>
        <w:rPr>
          <w:rFonts w:ascii="仿宋_GB2312"/>
          <w:bCs/>
          <w:sz w:val="30"/>
          <w:szCs w:val="30"/>
        </w:rPr>
      </w:pPr>
      <w:r>
        <w:rPr>
          <w:rFonts w:hint="eastAsia" w:ascii="仿宋_GB2312"/>
          <w:bCs/>
          <w:sz w:val="30"/>
          <w:szCs w:val="30"/>
        </w:rPr>
        <w:t>（3）抢接单功能</w:t>
      </w:r>
    </w:p>
    <w:p w14:paraId="7428ABCA">
      <w:pPr>
        <w:ind w:firstLine="420"/>
        <w:rPr>
          <w:rFonts w:ascii="仿宋_GB2312"/>
          <w:bCs/>
          <w:sz w:val="30"/>
          <w:szCs w:val="30"/>
        </w:rPr>
      </w:pPr>
      <w:r>
        <w:rPr>
          <w:rFonts w:hint="eastAsia" w:ascii="仿宋_GB2312"/>
          <w:bCs/>
          <w:sz w:val="30"/>
          <w:szCs w:val="30"/>
        </w:rPr>
        <w:t>1.Banner公告功能：护士端首页配置Banner展示位，护士可实时查看后台发布的服务重要通知、行业公告、平台活动等信息。</w:t>
      </w:r>
    </w:p>
    <w:p w14:paraId="57535B71">
      <w:pPr>
        <w:ind w:firstLine="420"/>
        <w:rPr>
          <w:rFonts w:ascii="仿宋_GB2312"/>
          <w:bCs/>
          <w:sz w:val="30"/>
          <w:szCs w:val="30"/>
        </w:rPr>
      </w:pPr>
      <w:r>
        <w:rPr>
          <w:rFonts w:hint="eastAsia" w:ascii="仿宋_GB2312"/>
          <w:bCs/>
          <w:sz w:val="30"/>
          <w:szCs w:val="30"/>
        </w:rPr>
        <w:t>2.消息通知功能：支持护士实时接收平台待办事项提醒、服务进度通知、超时预警、异常报警等各类消息。</w:t>
      </w:r>
    </w:p>
    <w:p w14:paraId="33E7F005">
      <w:pPr>
        <w:ind w:firstLine="420"/>
        <w:rPr>
          <w:rFonts w:ascii="仿宋_GB2312"/>
          <w:bCs/>
          <w:sz w:val="30"/>
          <w:szCs w:val="30"/>
        </w:rPr>
      </w:pPr>
      <w:r>
        <w:rPr>
          <w:rFonts w:hint="eastAsia" w:ascii="仿宋_GB2312"/>
          <w:bCs/>
          <w:sz w:val="30"/>
          <w:szCs w:val="30"/>
        </w:rPr>
        <w:t>3.语音播报开关功能：支持护士自主开启或关闭平台消息语音播报功能，适配不同服务场景需求。</w:t>
      </w:r>
    </w:p>
    <w:p w14:paraId="63EFADDB">
      <w:pPr>
        <w:ind w:firstLine="420"/>
        <w:rPr>
          <w:rFonts w:ascii="仿宋_GB2312"/>
          <w:bCs/>
          <w:sz w:val="30"/>
          <w:szCs w:val="30"/>
        </w:rPr>
      </w:pPr>
      <w:r>
        <w:rPr>
          <w:rFonts w:hint="eastAsia" w:ascii="仿宋_GB2312"/>
          <w:bCs/>
          <w:sz w:val="30"/>
          <w:szCs w:val="30"/>
        </w:rPr>
        <w:t>4.抢/接单功能：支持护士查看自身资质可承接的全部服务单信息，针对平台派单模式的工单可主动申请接单；抢接单列表支持多条件筛选、精准查询，同时配备一键返回顶部功能，优化操作体验。</w:t>
      </w:r>
    </w:p>
    <w:p w14:paraId="7CED93AE">
      <w:pPr>
        <w:ind w:firstLine="420"/>
        <w:rPr>
          <w:rFonts w:ascii="仿宋_GB2312"/>
          <w:bCs/>
          <w:sz w:val="30"/>
          <w:szCs w:val="30"/>
        </w:rPr>
      </w:pPr>
      <w:r>
        <w:rPr>
          <w:rFonts w:hint="eastAsia" w:ascii="仿宋_GB2312"/>
          <w:bCs/>
          <w:sz w:val="30"/>
          <w:szCs w:val="30"/>
        </w:rPr>
        <w:t>（4）服务功能</w:t>
      </w:r>
    </w:p>
    <w:p w14:paraId="41477458">
      <w:pPr>
        <w:ind w:firstLine="420"/>
        <w:rPr>
          <w:rFonts w:ascii="仿宋_GB2312"/>
          <w:bCs/>
          <w:sz w:val="30"/>
          <w:szCs w:val="30"/>
        </w:rPr>
      </w:pPr>
      <w:r>
        <w:rPr>
          <w:rFonts w:hint="eastAsia" w:ascii="仿宋_GB2312"/>
          <w:bCs/>
          <w:sz w:val="30"/>
          <w:szCs w:val="30"/>
        </w:rPr>
        <w:t>1.工单列表功能：支持护士实时查看个人待服务、已完成的全部上门护理工单，清晰掌握服务台账。</w:t>
      </w:r>
    </w:p>
    <w:p w14:paraId="6D4730CD">
      <w:pPr>
        <w:ind w:firstLine="420"/>
        <w:rPr>
          <w:rFonts w:ascii="仿宋_GB2312"/>
          <w:bCs/>
          <w:sz w:val="30"/>
          <w:szCs w:val="30"/>
        </w:rPr>
      </w:pPr>
      <w:r>
        <w:rPr>
          <w:rFonts w:hint="eastAsia" w:ascii="仿宋_GB2312"/>
          <w:bCs/>
          <w:sz w:val="30"/>
          <w:szCs w:val="30"/>
        </w:rPr>
        <w:t>2.历史记录查询功能：支持护士调取对应服务对象的全部历史服务记录及详情，便于延续性护理服务开展。</w:t>
      </w:r>
    </w:p>
    <w:p w14:paraId="5F282AB2">
      <w:pPr>
        <w:ind w:firstLine="420"/>
        <w:rPr>
          <w:rFonts w:ascii="仿宋_GB2312"/>
          <w:bCs/>
          <w:sz w:val="30"/>
          <w:szCs w:val="30"/>
        </w:rPr>
      </w:pPr>
      <w:r>
        <w:rPr>
          <w:rFonts w:hint="eastAsia" w:ascii="仿宋_GB2312"/>
          <w:bCs/>
          <w:sz w:val="30"/>
          <w:szCs w:val="30"/>
        </w:rPr>
        <w:t>3.一键报警功能：护士在上门服务过程中如遇突发紧急事件，可通过平台一键发起报警或拨打急救电话，保障服务安全。</w:t>
      </w:r>
    </w:p>
    <w:p w14:paraId="22FAE32E">
      <w:pPr>
        <w:ind w:firstLine="420"/>
        <w:rPr>
          <w:rFonts w:ascii="仿宋_GB2312"/>
          <w:bCs/>
          <w:sz w:val="30"/>
          <w:szCs w:val="30"/>
        </w:rPr>
      </w:pPr>
      <w:r>
        <w:rPr>
          <w:rFonts w:hint="eastAsia" w:ascii="仿宋_GB2312"/>
          <w:bCs/>
          <w:sz w:val="30"/>
          <w:szCs w:val="30"/>
        </w:rPr>
        <w:t>4.费用账单功能：支持护士查看用户后付费订单的付款明细信息，可根据实际情况合规调整订单内容，支持生成专属支付二维码，供患者扫码完成缴费。</w:t>
      </w:r>
    </w:p>
    <w:p w14:paraId="0DEA2080">
      <w:pPr>
        <w:ind w:firstLine="420"/>
        <w:rPr>
          <w:rFonts w:ascii="仿宋_GB2312"/>
          <w:bCs/>
          <w:sz w:val="30"/>
          <w:szCs w:val="30"/>
        </w:rPr>
      </w:pPr>
      <w:r>
        <w:rPr>
          <w:rFonts w:hint="eastAsia" w:ascii="仿宋_GB2312"/>
          <w:bCs/>
          <w:sz w:val="30"/>
          <w:szCs w:val="30"/>
        </w:rPr>
        <w:t>5.路线规划功能：平台根据护士当日待服务工单数据，可按照服务时间、服务距离两种维度，自动规划护士全天上门服务最优路线。</w:t>
      </w:r>
    </w:p>
    <w:p w14:paraId="69ED783C">
      <w:pPr>
        <w:ind w:firstLine="420"/>
        <w:rPr>
          <w:rFonts w:ascii="仿宋_GB2312"/>
          <w:bCs/>
          <w:sz w:val="30"/>
          <w:szCs w:val="30"/>
        </w:rPr>
      </w:pPr>
      <w:r>
        <w:rPr>
          <w:rFonts w:hint="eastAsia" w:ascii="仿宋_GB2312"/>
          <w:bCs/>
          <w:sz w:val="30"/>
          <w:szCs w:val="30"/>
        </w:rPr>
        <w:t>6.服务评估功能：建立全流程服务评估体系，支持护士接单前完成接单资质与服务适配评估，上门抵达后完成现场服务条件评估，评估通过后可确认开启服务；服务完成后，护士可根据实际服务情况完成患者服务效果评估记录。</w:t>
      </w:r>
    </w:p>
    <w:p w14:paraId="562A764E">
      <w:pPr>
        <w:ind w:firstLine="420"/>
        <w:rPr>
          <w:rFonts w:ascii="仿宋_GB2312"/>
          <w:bCs/>
          <w:sz w:val="30"/>
          <w:szCs w:val="30"/>
        </w:rPr>
      </w:pPr>
      <w:r>
        <w:rPr>
          <w:rFonts w:hint="eastAsia" w:ascii="仿宋_GB2312"/>
          <w:bCs/>
          <w:sz w:val="30"/>
          <w:szCs w:val="30"/>
        </w:rPr>
        <w:t>7.联系患者功能：支持护士通过平台隐私电话模式拨通患者电话，隐藏护士个人真实号码，用户无法回拨、无法查看护士私人联系方式，同时全程自动留存通话录音，保障医患双方权益。</w:t>
      </w:r>
    </w:p>
    <w:p w14:paraId="36096661">
      <w:pPr>
        <w:ind w:firstLine="420"/>
        <w:rPr>
          <w:rFonts w:ascii="仿宋_GB2312"/>
          <w:bCs/>
          <w:sz w:val="30"/>
          <w:szCs w:val="30"/>
        </w:rPr>
      </w:pPr>
      <w:r>
        <w:rPr>
          <w:rFonts w:hint="eastAsia" w:ascii="仿宋_GB2312"/>
          <w:bCs/>
          <w:sz w:val="30"/>
          <w:szCs w:val="30"/>
        </w:rPr>
        <w:t>8.服务出发功能：护士上门出发时可点击服务出门按钮，系统自动记录出门定位位置信息，实现服务轨迹溯源。</w:t>
      </w:r>
    </w:p>
    <w:p w14:paraId="21A95B20">
      <w:pPr>
        <w:ind w:firstLine="420"/>
        <w:rPr>
          <w:rFonts w:ascii="仿宋_GB2312"/>
          <w:bCs/>
          <w:sz w:val="30"/>
          <w:szCs w:val="30"/>
        </w:rPr>
      </w:pPr>
      <w:r>
        <w:rPr>
          <w:rFonts w:hint="eastAsia" w:ascii="仿宋_GB2312"/>
          <w:bCs/>
          <w:sz w:val="30"/>
          <w:szCs w:val="30"/>
        </w:rPr>
        <w:t>9.服务开始功能：护士抵达患者家中、完成现场评估后，可点击开启服务操作，系统确认服务正式开始并记录现场位置信息。</w:t>
      </w:r>
    </w:p>
    <w:p w14:paraId="7919A3D4">
      <w:pPr>
        <w:ind w:firstLine="420"/>
        <w:rPr>
          <w:rFonts w:ascii="仿宋_GB2312"/>
          <w:bCs/>
          <w:sz w:val="30"/>
          <w:szCs w:val="30"/>
        </w:rPr>
      </w:pPr>
      <w:r>
        <w:rPr>
          <w:rFonts w:hint="eastAsia" w:ascii="仿宋_GB2312"/>
          <w:bCs/>
          <w:sz w:val="30"/>
          <w:szCs w:val="30"/>
        </w:rPr>
        <w:t>10.服务完成功能：服务结束后，护士可确认基础耗材包使用情况、核对后付费耗材信息并生成对应后付费订单；完整填写服务记录并提交，支持患者线上签名确认，同时护士可对患者服务配合情况、康复情况进行评价，最终确认完成本次上门服务。</w:t>
      </w:r>
    </w:p>
    <w:p w14:paraId="67AEE79C">
      <w:pPr>
        <w:ind w:firstLine="420"/>
        <w:rPr>
          <w:rFonts w:ascii="仿宋_GB2312"/>
          <w:bCs/>
          <w:sz w:val="30"/>
          <w:szCs w:val="30"/>
        </w:rPr>
      </w:pPr>
      <w:r>
        <w:rPr>
          <w:rFonts w:hint="eastAsia" w:ascii="仿宋_GB2312"/>
          <w:bCs/>
          <w:sz w:val="30"/>
          <w:szCs w:val="30"/>
        </w:rPr>
        <w:t>11.护士回访功能：单次服务完成后，支持护士通过电话对患者进行多次回访，了解患者服务满意度、病情恢复情况，所有回访内容全程系统留痕记录。</w:t>
      </w:r>
    </w:p>
    <w:p w14:paraId="3BF84595">
      <w:pPr>
        <w:ind w:firstLine="420"/>
        <w:rPr>
          <w:rFonts w:ascii="仿宋_GB2312"/>
          <w:bCs/>
          <w:sz w:val="30"/>
          <w:szCs w:val="30"/>
        </w:rPr>
      </w:pPr>
      <w:r>
        <w:rPr>
          <w:rFonts w:hint="eastAsia" w:ascii="仿宋_GB2312"/>
          <w:bCs/>
          <w:sz w:val="30"/>
          <w:szCs w:val="30"/>
        </w:rPr>
        <w:t>12.医废投放功能：支持护士线上记录医疗废弃物投放信息，可上传投放现场照片、记录投放定位位置，实现医疗废物处置全流程溯源管理。</w:t>
      </w:r>
    </w:p>
    <w:p w14:paraId="3E922CE9">
      <w:pPr>
        <w:ind w:firstLine="420"/>
        <w:rPr>
          <w:rFonts w:ascii="仿宋_GB2312"/>
          <w:bCs/>
          <w:sz w:val="30"/>
          <w:szCs w:val="30"/>
        </w:rPr>
      </w:pPr>
      <w:r>
        <w:rPr>
          <w:rFonts w:hint="eastAsia" w:ascii="仿宋_GB2312"/>
          <w:bCs/>
          <w:sz w:val="30"/>
          <w:szCs w:val="30"/>
        </w:rPr>
        <w:t>13.助约功能：针对用户购买的多次套餐类护理服务，单次服务完成后，护士可协助用户预约剩余服务次数的上门服务。</w:t>
      </w:r>
    </w:p>
    <w:p w14:paraId="08D1C0F0">
      <w:pPr>
        <w:ind w:firstLine="420"/>
        <w:rPr>
          <w:rFonts w:ascii="仿宋_GB2312"/>
          <w:bCs/>
          <w:sz w:val="30"/>
          <w:szCs w:val="30"/>
        </w:rPr>
      </w:pPr>
      <w:r>
        <w:rPr>
          <w:rFonts w:hint="eastAsia" w:ascii="仿宋_GB2312"/>
          <w:bCs/>
          <w:sz w:val="30"/>
          <w:szCs w:val="30"/>
        </w:rPr>
        <w:t>14.全程录音功能：护士点击开启服务后，系统自动语音告知全程录音，同步启动全程录音留存，直至服务完成点击结束后终止录音，保障服务过程可追溯、可核查。</w:t>
      </w:r>
    </w:p>
    <w:p w14:paraId="71E365F1">
      <w:pPr>
        <w:ind w:firstLine="420"/>
        <w:rPr>
          <w:rFonts w:ascii="仿宋_GB2312"/>
          <w:bCs/>
          <w:sz w:val="30"/>
          <w:szCs w:val="30"/>
        </w:rPr>
      </w:pPr>
      <w:r>
        <w:rPr>
          <w:rFonts w:hint="eastAsia" w:ascii="仿宋_GB2312"/>
          <w:bCs/>
          <w:sz w:val="30"/>
          <w:szCs w:val="30"/>
        </w:rPr>
        <w:t>15.自动投保功能：服务启动后自动对接保险服务平台，实现单次上门护理服务实时自动投保，规避服务风险。</w:t>
      </w:r>
    </w:p>
    <w:p w14:paraId="3BCAB594">
      <w:pPr>
        <w:ind w:firstLine="420"/>
        <w:rPr>
          <w:rFonts w:ascii="仿宋_GB2312"/>
          <w:bCs/>
          <w:sz w:val="30"/>
          <w:szCs w:val="30"/>
        </w:rPr>
      </w:pPr>
      <w:r>
        <w:rPr>
          <w:rFonts w:hint="eastAsia" w:ascii="仿宋_GB2312"/>
          <w:bCs/>
          <w:sz w:val="30"/>
          <w:szCs w:val="30"/>
        </w:rPr>
        <w:t>16.服务退费功能：支持护士针对服务交通费进行自定义退费操作，退费金额不得超过用户实际支付的交通费用总额，合规管控退费流程。</w:t>
      </w:r>
    </w:p>
    <w:p w14:paraId="6AA4BF50">
      <w:pPr>
        <w:ind w:firstLine="420"/>
        <w:rPr>
          <w:rFonts w:ascii="仿宋_GB2312"/>
          <w:bCs/>
          <w:sz w:val="30"/>
          <w:szCs w:val="30"/>
        </w:rPr>
      </w:pPr>
      <w:r>
        <w:rPr>
          <w:rFonts w:hint="eastAsia" w:ascii="仿宋_GB2312"/>
          <w:bCs/>
          <w:sz w:val="30"/>
          <w:szCs w:val="30"/>
        </w:rPr>
        <w:t>17.事件上报功能：支持护士针对居家上门护理过程中发生的各类医疗事件、服务异常事件进行线上记录上报，平台管理员可在后台查看上报内容并跟进处置、留存处理结果。</w:t>
      </w:r>
    </w:p>
    <w:p w14:paraId="4D4C4404">
      <w:pPr>
        <w:ind w:firstLine="420"/>
        <w:rPr>
          <w:rFonts w:ascii="仿宋_GB2312"/>
          <w:bCs/>
          <w:sz w:val="30"/>
          <w:szCs w:val="30"/>
        </w:rPr>
      </w:pPr>
      <w:r>
        <w:rPr>
          <w:rFonts w:hint="eastAsia" w:ascii="仿宋_GB2312"/>
          <w:bCs/>
          <w:sz w:val="30"/>
          <w:szCs w:val="30"/>
        </w:rPr>
        <w:t>（5）咨询功能</w:t>
      </w:r>
    </w:p>
    <w:p w14:paraId="01DA3323">
      <w:pPr>
        <w:ind w:firstLine="420"/>
        <w:rPr>
          <w:rFonts w:ascii="仿宋_GB2312"/>
          <w:bCs/>
          <w:sz w:val="30"/>
          <w:szCs w:val="30"/>
        </w:rPr>
      </w:pPr>
      <w:r>
        <w:rPr>
          <w:rFonts w:hint="eastAsia" w:ascii="仿宋_GB2312"/>
          <w:bCs/>
          <w:sz w:val="30"/>
          <w:szCs w:val="30"/>
        </w:rPr>
        <w:t>1.咨询列表功能：支持护士查看当前正在进行的线上咨询工单列表，存在未读咨询消息时页面红点提醒，避免消息遗漏。</w:t>
      </w:r>
    </w:p>
    <w:p w14:paraId="2AE8657C">
      <w:pPr>
        <w:ind w:firstLine="420"/>
        <w:rPr>
          <w:rFonts w:ascii="仿宋_GB2312"/>
          <w:bCs/>
          <w:sz w:val="30"/>
          <w:szCs w:val="30"/>
        </w:rPr>
      </w:pPr>
      <w:r>
        <w:rPr>
          <w:rFonts w:hint="eastAsia" w:ascii="仿宋_GB2312"/>
          <w:bCs/>
          <w:sz w:val="30"/>
          <w:szCs w:val="30"/>
        </w:rPr>
        <w:t>2.图文咨询功能：支持护士与患者开展线上图文咨询沟通，可正常发送文字、图片内容，完成健康答疑、护理指导。</w:t>
      </w:r>
    </w:p>
    <w:p w14:paraId="308A207D">
      <w:pPr>
        <w:ind w:firstLine="420"/>
        <w:rPr>
          <w:rFonts w:ascii="仿宋_GB2312"/>
          <w:bCs/>
          <w:sz w:val="30"/>
          <w:szCs w:val="30"/>
        </w:rPr>
      </w:pPr>
      <w:r>
        <w:rPr>
          <w:rFonts w:hint="eastAsia" w:ascii="仿宋_GB2312"/>
          <w:bCs/>
          <w:sz w:val="30"/>
          <w:szCs w:val="30"/>
        </w:rPr>
        <w:t>3.历史咨询功能：支持护士查询个人所有历史线上咨询服务记录，可同步查看患者后续服务评价情况。</w:t>
      </w:r>
    </w:p>
    <w:p w14:paraId="3E0D2F1B">
      <w:pPr>
        <w:ind w:firstLine="420"/>
        <w:rPr>
          <w:rFonts w:ascii="仿宋_GB2312"/>
          <w:bCs/>
          <w:sz w:val="30"/>
          <w:szCs w:val="30"/>
        </w:rPr>
      </w:pPr>
      <w:r>
        <w:rPr>
          <w:rFonts w:hint="eastAsia" w:ascii="仿宋_GB2312"/>
          <w:bCs/>
          <w:sz w:val="30"/>
          <w:szCs w:val="30"/>
        </w:rPr>
        <w:t>（6）个人中心（我的）功能</w:t>
      </w:r>
    </w:p>
    <w:p w14:paraId="1AD4F487">
      <w:pPr>
        <w:ind w:firstLine="420"/>
        <w:rPr>
          <w:rFonts w:ascii="仿宋_GB2312"/>
          <w:bCs/>
          <w:sz w:val="30"/>
          <w:szCs w:val="30"/>
        </w:rPr>
      </w:pPr>
      <w:r>
        <w:rPr>
          <w:rFonts w:hint="eastAsia" w:ascii="仿宋_GB2312"/>
          <w:bCs/>
          <w:sz w:val="30"/>
          <w:szCs w:val="30"/>
        </w:rPr>
        <w:t>1.更改信息功能：支持护士自主编辑、修改个人基础资料信息。</w:t>
      </w:r>
    </w:p>
    <w:p w14:paraId="76B5B116">
      <w:pPr>
        <w:ind w:firstLine="420"/>
        <w:rPr>
          <w:rFonts w:ascii="仿宋_GB2312"/>
          <w:bCs/>
          <w:sz w:val="30"/>
          <w:szCs w:val="30"/>
        </w:rPr>
      </w:pPr>
      <w:r>
        <w:rPr>
          <w:rFonts w:hint="eastAsia" w:ascii="仿宋_GB2312"/>
          <w:bCs/>
          <w:sz w:val="30"/>
          <w:szCs w:val="30"/>
        </w:rPr>
        <w:t>2.我的保单功能：支持护士随时查看个人服务电子保单详情。</w:t>
      </w:r>
    </w:p>
    <w:p w14:paraId="33579539">
      <w:pPr>
        <w:ind w:firstLine="420"/>
        <w:rPr>
          <w:rFonts w:ascii="仿宋_GB2312"/>
          <w:bCs/>
          <w:sz w:val="30"/>
          <w:szCs w:val="30"/>
        </w:rPr>
      </w:pPr>
      <w:r>
        <w:rPr>
          <w:rFonts w:hint="eastAsia" w:ascii="仿宋_GB2312"/>
          <w:bCs/>
          <w:sz w:val="30"/>
          <w:szCs w:val="30"/>
        </w:rPr>
        <w:t>3.服务项目功能：支持护士查看本人资质可承接的全部护理服务项目，可线上申请新增或删除个人服务项目，经管理员审核通过后更新个人服务权限。</w:t>
      </w:r>
    </w:p>
    <w:p w14:paraId="42048BD7">
      <w:pPr>
        <w:ind w:firstLine="420"/>
        <w:rPr>
          <w:rFonts w:ascii="仿宋_GB2312"/>
          <w:bCs/>
          <w:sz w:val="30"/>
          <w:szCs w:val="30"/>
        </w:rPr>
      </w:pPr>
      <w:r>
        <w:rPr>
          <w:rFonts w:hint="eastAsia" w:ascii="仿宋_GB2312"/>
          <w:bCs/>
          <w:sz w:val="30"/>
          <w:szCs w:val="30"/>
        </w:rPr>
        <w:t>4.服务院区功能：支持护士查看本人所属及可服务的院区信息，可自主设置院区消息接收规则。</w:t>
      </w:r>
    </w:p>
    <w:p w14:paraId="437592AB">
      <w:pPr>
        <w:ind w:firstLine="420"/>
        <w:rPr>
          <w:rFonts w:ascii="仿宋_GB2312"/>
          <w:bCs/>
          <w:sz w:val="30"/>
          <w:szCs w:val="30"/>
        </w:rPr>
      </w:pPr>
      <w:r>
        <w:rPr>
          <w:rFonts w:hint="eastAsia" w:ascii="仿宋_GB2312"/>
          <w:bCs/>
          <w:sz w:val="30"/>
          <w:szCs w:val="30"/>
        </w:rPr>
        <w:t>5.耗材请领功能：支持护士线上申请护理耗材，请领记录可查，同时可实时查看个人当前持有耗材数量。</w:t>
      </w:r>
    </w:p>
    <w:p w14:paraId="1088829D">
      <w:pPr>
        <w:ind w:firstLine="420"/>
        <w:rPr>
          <w:rFonts w:ascii="仿宋_GB2312"/>
          <w:bCs/>
          <w:sz w:val="30"/>
          <w:szCs w:val="30"/>
        </w:rPr>
      </w:pPr>
      <w:r>
        <w:rPr>
          <w:rFonts w:hint="eastAsia" w:ascii="仿宋_GB2312"/>
          <w:bCs/>
          <w:sz w:val="30"/>
          <w:szCs w:val="30"/>
        </w:rPr>
        <w:t>6.地址管理功能：支持护士自主维护、修改个人耗材收货地址。</w:t>
      </w:r>
    </w:p>
    <w:p w14:paraId="6007885E">
      <w:pPr>
        <w:ind w:firstLine="420"/>
        <w:rPr>
          <w:rFonts w:ascii="仿宋_GB2312"/>
          <w:bCs/>
          <w:sz w:val="30"/>
          <w:szCs w:val="30"/>
        </w:rPr>
      </w:pPr>
      <w:r>
        <w:rPr>
          <w:rFonts w:hint="eastAsia" w:ascii="仿宋_GB2312"/>
          <w:bCs/>
          <w:sz w:val="30"/>
          <w:szCs w:val="30"/>
        </w:rPr>
        <w:t>7.咨询服务开关功能：支持护士自主开启或关闭个人线上咨询服务权限，灵活调整服务状态。</w:t>
      </w:r>
    </w:p>
    <w:p w14:paraId="1C0754FE">
      <w:pPr>
        <w:ind w:firstLine="420"/>
        <w:rPr>
          <w:rFonts w:ascii="仿宋_GB2312"/>
          <w:bCs/>
          <w:sz w:val="30"/>
          <w:szCs w:val="30"/>
        </w:rPr>
      </w:pPr>
      <w:r>
        <w:rPr>
          <w:rFonts w:hint="eastAsia" w:ascii="仿宋_GB2312"/>
          <w:bCs/>
          <w:sz w:val="30"/>
          <w:szCs w:val="30"/>
        </w:rPr>
        <w:t>8.钱包功能：支持护士实时查看个人工单服务收益明细及累计收益。</w:t>
      </w:r>
    </w:p>
    <w:p w14:paraId="60545BC1">
      <w:pPr>
        <w:ind w:firstLine="420"/>
        <w:rPr>
          <w:rFonts w:ascii="仿宋_GB2312"/>
          <w:bCs/>
          <w:sz w:val="30"/>
          <w:szCs w:val="30"/>
        </w:rPr>
      </w:pPr>
      <w:r>
        <w:rPr>
          <w:rFonts w:hint="eastAsia" w:ascii="仿宋_GB2312"/>
          <w:bCs/>
          <w:sz w:val="30"/>
          <w:szCs w:val="30"/>
        </w:rPr>
        <w:t>9.我的二维码功能：支持护士生成并分享个人专属服务二维码，用户扫码下单可默认选中该护士，支持配置仅推荐上门、推荐且优先上门等服务规则。</w:t>
      </w:r>
    </w:p>
    <w:p w14:paraId="1F50DFE5">
      <w:pPr>
        <w:ind w:firstLine="420"/>
        <w:rPr>
          <w:rFonts w:ascii="仿宋_GB2312"/>
          <w:bCs/>
          <w:sz w:val="30"/>
          <w:szCs w:val="30"/>
        </w:rPr>
      </w:pPr>
      <w:r>
        <w:rPr>
          <w:rFonts w:hint="eastAsia" w:ascii="仿宋_GB2312"/>
          <w:bCs/>
          <w:sz w:val="30"/>
          <w:szCs w:val="30"/>
        </w:rPr>
        <w:t>10.设置功能：支持护士自主配置系统权限、消息通知接收规则、语音播报状态、消息接收设备，支持修改绑定手机号、申请账号注销、退出登录等操作。</w:t>
      </w:r>
    </w:p>
    <w:p w14:paraId="7CAA136D">
      <w:pPr>
        <w:ind w:firstLine="420"/>
        <w:rPr>
          <w:rFonts w:ascii="仿宋_GB2312"/>
          <w:bCs/>
          <w:sz w:val="30"/>
          <w:szCs w:val="30"/>
        </w:rPr>
      </w:pPr>
      <w:r>
        <w:rPr>
          <w:rFonts w:hint="eastAsia" w:ascii="仿宋_GB2312"/>
          <w:bCs/>
          <w:sz w:val="30"/>
          <w:szCs w:val="30"/>
        </w:rPr>
        <w:t>11.录音上传功能：针对服务过程中因网络异常未自动上传的录音文件，支持护士手动触发上传，补齐服务溯源资料。</w:t>
      </w:r>
    </w:p>
    <w:p w14:paraId="23B8487E">
      <w:pPr>
        <w:ind w:firstLine="420"/>
        <w:rPr>
          <w:rFonts w:ascii="仿宋_GB2312"/>
          <w:bCs/>
          <w:sz w:val="30"/>
          <w:szCs w:val="30"/>
        </w:rPr>
      </w:pPr>
      <w:r>
        <w:rPr>
          <w:rFonts w:hint="eastAsia" w:ascii="仿宋_GB2312"/>
          <w:bCs/>
          <w:sz w:val="30"/>
          <w:szCs w:val="30"/>
        </w:rPr>
        <w:t>12.资质认证功能：支持护士自主维护个人执业资质信息，包含执业机构、服务机构、科室/护理单元、护理专科方向、执业经历、专业擅长、执业证编号等核心资质资料。</w:t>
      </w:r>
    </w:p>
    <w:p w14:paraId="6FC1C20B">
      <w:pPr>
        <w:ind w:firstLine="420"/>
        <w:rPr>
          <w:rFonts w:ascii="仿宋_GB2312"/>
          <w:bCs/>
          <w:sz w:val="30"/>
          <w:szCs w:val="30"/>
        </w:rPr>
      </w:pPr>
      <w:r>
        <w:rPr>
          <w:rFonts w:hint="eastAsia" w:ascii="仿宋_GB2312"/>
          <w:bCs/>
          <w:sz w:val="30"/>
          <w:szCs w:val="30"/>
        </w:rPr>
        <w:t>13.平台协议查看功能：支持护士随时查阅平台各类官方协议文件，包含《护士服务协议》《护士隐私政策》《隐私保护政策》《安全须知》等。</w:t>
      </w:r>
    </w:p>
    <w:p w14:paraId="773E09A4">
      <w:pPr>
        <w:ind w:firstLine="420"/>
        <w:rPr>
          <w:rFonts w:ascii="仿宋_GB2312"/>
          <w:bCs/>
          <w:sz w:val="30"/>
          <w:szCs w:val="30"/>
        </w:rPr>
      </w:pPr>
      <w:r>
        <w:rPr>
          <w:rFonts w:hint="eastAsia" w:ascii="仿宋_GB2312"/>
          <w:bCs/>
          <w:sz w:val="30"/>
          <w:szCs w:val="30"/>
        </w:rPr>
        <w:t>14.意见反馈功能：支持护士针对平台使用、服务开展过程中遇到的问题、优化建议进行线上反馈，平台管理员可实时接收并回复处理。</w:t>
      </w:r>
    </w:p>
    <w:p w14:paraId="2204DD47">
      <w:pPr>
        <w:ind w:firstLine="422"/>
        <w:rPr>
          <w:rFonts w:ascii="仿宋_GB2312"/>
          <w:b/>
          <w:bCs/>
          <w:sz w:val="30"/>
          <w:szCs w:val="30"/>
        </w:rPr>
      </w:pPr>
      <w:r>
        <w:rPr>
          <w:rFonts w:hint="eastAsia" w:ascii="仿宋_GB2312"/>
          <w:b/>
          <w:bCs/>
          <w:sz w:val="30"/>
          <w:szCs w:val="30"/>
        </w:rPr>
        <w:t>（三）运营管理端-PC</w:t>
      </w:r>
    </w:p>
    <w:p w14:paraId="2FA9BAA5">
      <w:pPr>
        <w:ind w:firstLine="420"/>
        <w:rPr>
          <w:rFonts w:ascii="仿宋_GB2312"/>
          <w:bCs/>
          <w:sz w:val="30"/>
          <w:szCs w:val="30"/>
        </w:rPr>
      </w:pPr>
      <w:r>
        <w:rPr>
          <w:rFonts w:hint="eastAsia" w:ascii="仿宋_GB2312"/>
          <w:bCs/>
          <w:sz w:val="30"/>
          <w:szCs w:val="30"/>
        </w:rPr>
        <w:t>（1）运营工作台功能</w:t>
      </w:r>
    </w:p>
    <w:p w14:paraId="1D6A1B38">
      <w:pPr>
        <w:ind w:firstLine="420"/>
        <w:rPr>
          <w:rFonts w:ascii="仿宋_GB2312"/>
          <w:bCs/>
          <w:sz w:val="30"/>
          <w:szCs w:val="30"/>
        </w:rPr>
      </w:pPr>
      <w:r>
        <w:rPr>
          <w:rFonts w:hint="eastAsia" w:ascii="仿宋_GB2312"/>
          <w:bCs/>
          <w:sz w:val="30"/>
          <w:szCs w:val="30"/>
        </w:rPr>
        <w:t>运营工作台：支持展示支付超时清单及各类待办需求单列表，方便运营人员集中处理平台待办事项，高效跟进业务流程。</w:t>
      </w:r>
    </w:p>
    <w:p w14:paraId="0AA2ED91">
      <w:pPr>
        <w:ind w:firstLine="420"/>
        <w:rPr>
          <w:rFonts w:ascii="仿宋_GB2312"/>
          <w:bCs/>
          <w:sz w:val="30"/>
          <w:szCs w:val="30"/>
        </w:rPr>
      </w:pPr>
      <w:r>
        <w:rPr>
          <w:rFonts w:hint="eastAsia" w:ascii="仿宋_GB2312"/>
          <w:bCs/>
          <w:sz w:val="30"/>
          <w:szCs w:val="30"/>
        </w:rPr>
        <w:t>（2）机构大屏功能</w:t>
      </w:r>
    </w:p>
    <w:p w14:paraId="27808C53">
      <w:pPr>
        <w:ind w:firstLine="420"/>
        <w:rPr>
          <w:rFonts w:ascii="仿宋_GB2312"/>
          <w:bCs/>
          <w:sz w:val="30"/>
          <w:szCs w:val="30"/>
        </w:rPr>
      </w:pPr>
      <w:r>
        <w:rPr>
          <w:rFonts w:hint="eastAsia" w:ascii="仿宋_GB2312"/>
          <w:bCs/>
          <w:sz w:val="30"/>
          <w:szCs w:val="30"/>
        </w:rPr>
        <w:t>机构大屏：支持展示机构可视化数据大屏，直观呈现平台运营、服务工单、人员服务等核心业务数据，实现数据可视化监管。</w:t>
      </w:r>
    </w:p>
    <w:p w14:paraId="09940BEC">
      <w:pPr>
        <w:ind w:firstLine="420"/>
        <w:rPr>
          <w:rFonts w:ascii="仿宋_GB2312"/>
          <w:bCs/>
          <w:sz w:val="30"/>
          <w:szCs w:val="30"/>
        </w:rPr>
      </w:pPr>
      <w:r>
        <w:rPr>
          <w:rFonts w:hint="eastAsia" w:ascii="仿宋_GB2312"/>
          <w:bCs/>
          <w:sz w:val="30"/>
          <w:szCs w:val="30"/>
        </w:rPr>
        <w:t>（3）机构管理功能</w:t>
      </w:r>
    </w:p>
    <w:p w14:paraId="0F99FFF4">
      <w:pPr>
        <w:ind w:firstLine="420"/>
        <w:rPr>
          <w:rFonts w:ascii="仿宋_GB2312"/>
          <w:bCs/>
          <w:sz w:val="30"/>
          <w:szCs w:val="30"/>
        </w:rPr>
      </w:pPr>
      <w:r>
        <w:rPr>
          <w:rFonts w:hint="eastAsia" w:ascii="仿宋_GB2312"/>
          <w:bCs/>
          <w:sz w:val="30"/>
          <w:szCs w:val="30"/>
        </w:rPr>
        <w:t>1.机构信息：支持运营人员查看机构基础配置信息，可编辑、修改机构相关运营参数，同时支持完成上门陪护相关配置工作。</w:t>
      </w:r>
    </w:p>
    <w:p w14:paraId="21FCF55B">
      <w:pPr>
        <w:ind w:firstLine="420"/>
        <w:rPr>
          <w:rFonts w:ascii="仿宋_GB2312"/>
          <w:bCs/>
          <w:sz w:val="30"/>
          <w:szCs w:val="30"/>
        </w:rPr>
      </w:pPr>
      <w:r>
        <w:rPr>
          <w:rFonts w:hint="eastAsia" w:ascii="仿宋_GB2312"/>
          <w:bCs/>
          <w:sz w:val="30"/>
          <w:szCs w:val="30"/>
        </w:rPr>
        <w:t>2.知情告知书配置：支持后台统一配置用户下单前必读的《服务项目知情告知书》，规范用户预约下单告知流程。</w:t>
      </w:r>
    </w:p>
    <w:p w14:paraId="005D6301">
      <w:pPr>
        <w:ind w:firstLine="420"/>
        <w:rPr>
          <w:rFonts w:ascii="仿宋_GB2312"/>
          <w:bCs/>
          <w:sz w:val="30"/>
          <w:szCs w:val="30"/>
        </w:rPr>
      </w:pPr>
      <w:r>
        <w:rPr>
          <w:rFonts w:hint="eastAsia" w:ascii="仿宋_GB2312"/>
          <w:bCs/>
          <w:sz w:val="30"/>
          <w:szCs w:val="30"/>
        </w:rPr>
        <w:t>3.费用配置：支持机构自定义配置各项服务费用名称、员工结算分成比例、统一计费规则以及订单退款规则，标准化平台计费与结算体系。</w:t>
      </w:r>
    </w:p>
    <w:p w14:paraId="19ABC0A8">
      <w:pPr>
        <w:ind w:firstLine="420"/>
        <w:rPr>
          <w:rFonts w:ascii="仿宋_GB2312"/>
          <w:bCs/>
          <w:sz w:val="30"/>
          <w:szCs w:val="30"/>
        </w:rPr>
      </w:pPr>
      <w:r>
        <w:rPr>
          <w:rFonts w:hint="eastAsia" w:ascii="仿宋_GB2312"/>
          <w:bCs/>
          <w:sz w:val="30"/>
          <w:szCs w:val="30"/>
        </w:rPr>
        <w:t>4.员工管理：支持运营人员维护员工基础档案信息、上传及审核员工资质文件、配置护士可承接服务项目与服务范围，完成护士入驻资质审核工作。</w:t>
      </w:r>
    </w:p>
    <w:p w14:paraId="6D0AB5B6">
      <w:pPr>
        <w:ind w:firstLine="420"/>
        <w:rPr>
          <w:rFonts w:ascii="仿宋_GB2312"/>
          <w:bCs/>
          <w:sz w:val="30"/>
          <w:szCs w:val="30"/>
        </w:rPr>
      </w:pPr>
      <w:r>
        <w:rPr>
          <w:rFonts w:hint="eastAsia" w:ascii="仿宋_GB2312"/>
          <w:bCs/>
          <w:sz w:val="30"/>
          <w:szCs w:val="30"/>
        </w:rPr>
        <w:t>（4）服务运营功能</w:t>
      </w:r>
    </w:p>
    <w:p w14:paraId="4EE9F6AB">
      <w:pPr>
        <w:ind w:firstLine="420"/>
        <w:rPr>
          <w:rFonts w:ascii="仿宋_GB2312"/>
          <w:bCs/>
          <w:sz w:val="30"/>
          <w:szCs w:val="30"/>
        </w:rPr>
      </w:pPr>
      <w:r>
        <w:rPr>
          <w:rFonts w:hint="eastAsia" w:ascii="仿宋_GB2312"/>
          <w:bCs/>
          <w:sz w:val="30"/>
          <w:szCs w:val="30"/>
        </w:rPr>
        <w:t>1.服务对象管理：支持查看、管理平台所有服务对象的基础信息，建立完善的用户信息台账。</w:t>
      </w:r>
    </w:p>
    <w:p w14:paraId="00A8CB3A">
      <w:pPr>
        <w:ind w:firstLine="420"/>
        <w:rPr>
          <w:rFonts w:ascii="仿宋_GB2312"/>
          <w:bCs/>
          <w:sz w:val="30"/>
          <w:szCs w:val="30"/>
        </w:rPr>
      </w:pPr>
      <w:r>
        <w:rPr>
          <w:rFonts w:hint="eastAsia" w:ascii="仿宋_GB2312"/>
          <w:bCs/>
          <w:sz w:val="30"/>
          <w:szCs w:val="30"/>
        </w:rPr>
        <w:t>2.服务地址管理：支持展示全部用户服务地址列表，可统一维护地址状态，分为正常可用、定位不准确两类状态，便于上门服务调度管理。</w:t>
      </w:r>
    </w:p>
    <w:p w14:paraId="66892006">
      <w:pPr>
        <w:ind w:firstLine="420"/>
        <w:rPr>
          <w:rFonts w:ascii="仿宋_GB2312"/>
          <w:bCs/>
          <w:sz w:val="30"/>
          <w:szCs w:val="30"/>
        </w:rPr>
      </w:pPr>
      <w:r>
        <w:rPr>
          <w:rFonts w:hint="eastAsia" w:ascii="仿宋_GB2312"/>
          <w:bCs/>
          <w:sz w:val="30"/>
          <w:szCs w:val="30"/>
        </w:rPr>
        <w:t>3.工单管理：支持对全部门店及上门工单进行全程服务跟踪，留存全流程服务记录，可开展工单信息变更、异常处理、数据统计加工等操作。</w:t>
      </w:r>
    </w:p>
    <w:p w14:paraId="359E699D">
      <w:pPr>
        <w:ind w:firstLine="420"/>
        <w:rPr>
          <w:rFonts w:ascii="仿宋_GB2312"/>
          <w:bCs/>
          <w:sz w:val="30"/>
          <w:szCs w:val="30"/>
        </w:rPr>
      </w:pPr>
      <w:r>
        <w:rPr>
          <w:rFonts w:hint="eastAsia" w:ascii="仿宋_GB2312"/>
          <w:bCs/>
          <w:sz w:val="30"/>
          <w:szCs w:val="30"/>
        </w:rPr>
        <w:t>4.订单管理：支持订单详情精准查询、订单状态处理、订单数据批量导出，可实时监控服务人员上门位置、实时服务状态，实现订单全流程监管。</w:t>
      </w:r>
    </w:p>
    <w:p w14:paraId="19466C67">
      <w:pPr>
        <w:ind w:firstLine="420"/>
        <w:rPr>
          <w:rFonts w:ascii="仿宋_GB2312"/>
          <w:bCs/>
          <w:sz w:val="30"/>
          <w:szCs w:val="30"/>
        </w:rPr>
      </w:pPr>
      <w:r>
        <w:rPr>
          <w:rFonts w:hint="eastAsia" w:ascii="仿宋_GB2312"/>
          <w:bCs/>
          <w:sz w:val="30"/>
          <w:szCs w:val="30"/>
        </w:rPr>
        <w:t>5.售后管理：支持运营人员查看退款待审核、审核未通过、当月已退款、退款超时等数据概览，可对各类退款订单进行对应操作；完整覆盖退款申请、审核、信息变更、全程记录的标准化退款管理流程。</w:t>
      </w:r>
    </w:p>
    <w:p w14:paraId="3DB96005">
      <w:pPr>
        <w:ind w:firstLine="420"/>
        <w:rPr>
          <w:rFonts w:ascii="仿宋_GB2312"/>
          <w:bCs/>
          <w:sz w:val="30"/>
          <w:szCs w:val="30"/>
        </w:rPr>
      </w:pPr>
      <w:r>
        <w:rPr>
          <w:rFonts w:hint="eastAsia" w:ascii="仿宋_GB2312"/>
          <w:bCs/>
          <w:sz w:val="30"/>
          <w:szCs w:val="30"/>
        </w:rPr>
        <w:t>6.护理保单管理：支持查询所有服务保单状态，针对投保失败的订单可重新生成有效保单，支持保单数据导出留存。</w:t>
      </w:r>
    </w:p>
    <w:p w14:paraId="0BA566ED">
      <w:pPr>
        <w:ind w:firstLine="420"/>
        <w:rPr>
          <w:rFonts w:ascii="仿宋_GB2312"/>
          <w:bCs/>
          <w:sz w:val="30"/>
          <w:szCs w:val="30"/>
        </w:rPr>
      </w:pPr>
      <w:r>
        <w:rPr>
          <w:rFonts w:hint="eastAsia" w:ascii="仿宋_GB2312"/>
          <w:bCs/>
          <w:sz w:val="30"/>
          <w:szCs w:val="30"/>
        </w:rPr>
        <w:t>7.第三方结算：支持代客下单场景选用第三方账号完成订单支付，系统可完整记录第三方承担方、费用总额度、合作合同模式、适用机构、适用项目、适用服务对象、适用业务范围、适用角色、单人使用限额、有效期限等全部结算信息。</w:t>
      </w:r>
    </w:p>
    <w:p w14:paraId="636A5408">
      <w:pPr>
        <w:ind w:firstLine="420"/>
        <w:rPr>
          <w:rFonts w:ascii="仿宋_GB2312"/>
          <w:bCs/>
          <w:sz w:val="30"/>
          <w:szCs w:val="30"/>
        </w:rPr>
      </w:pPr>
      <w:r>
        <w:rPr>
          <w:rFonts w:hint="eastAsia" w:ascii="仿宋_GB2312"/>
          <w:bCs/>
          <w:sz w:val="30"/>
          <w:szCs w:val="30"/>
        </w:rPr>
        <w:t>8.优惠券管理：支持后台全方位配置及管理平台优惠券，包含发放规则、使用限制、券面内容配置、退券机制、券款结算机制等全流程功能。</w:t>
      </w:r>
    </w:p>
    <w:p w14:paraId="0126B11E">
      <w:pPr>
        <w:ind w:firstLine="420"/>
        <w:rPr>
          <w:rFonts w:ascii="仿宋_GB2312"/>
          <w:bCs/>
          <w:sz w:val="30"/>
          <w:szCs w:val="30"/>
        </w:rPr>
      </w:pPr>
      <w:r>
        <w:rPr>
          <w:rFonts w:hint="eastAsia" w:ascii="仿宋_GB2312"/>
          <w:bCs/>
          <w:sz w:val="30"/>
          <w:szCs w:val="30"/>
        </w:rPr>
        <w:t>9.需求单管理：支持运营人员自主创建服务需求单、查看需求单详细信息，可将有效用户需求单转化为正式服务订单。</w:t>
      </w:r>
    </w:p>
    <w:p w14:paraId="44658931">
      <w:pPr>
        <w:ind w:firstLine="420"/>
        <w:rPr>
          <w:rFonts w:ascii="仿宋_GB2312"/>
          <w:bCs/>
          <w:sz w:val="30"/>
          <w:szCs w:val="30"/>
        </w:rPr>
      </w:pPr>
      <w:r>
        <w:rPr>
          <w:rFonts w:hint="eastAsia" w:ascii="仿宋_GB2312"/>
          <w:bCs/>
          <w:sz w:val="30"/>
          <w:szCs w:val="30"/>
        </w:rPr>
        <w:t>10.计划护理管理：支持查看、编辑护士为出院患者创建的专属护理计划，系统可将已确认的护理计划自动转化为对应待办服务任务。</w:t>
      </w:r>
    </w:p>
    <w:p w14:paraId="064CE69C">
      <w:pPr>
        <w:ind w:firstLine="420"/>
        <w:rPr>
          <w:rFonts w:ascii="仿宋_GB2312"/>
          <w:bCs/>
          <w:sz w:val="30"/>
          <w:szCs w:val="30"/>
        </w:rPr>
      </w:pPr>
      <w:r>
        <w:rPr>
          <w:rFonts w:hint="eastAsia" w:ascii="仿宋_GB2312"/>
          <w:bCs/>
          <w:sz w:val="30"/>
          <w:szCs w:val="30"/>
        </w:rPr>
        <w:t>11.黑名单管理：支持针对服务对象身份证、用户注册手机号进行黑名单录入管理，设置三级拉黑管控机制：一级为警告提示，有效期一个月；二级限制购买及预约服务，有效期一个月；三级永久禁止平台购买、预约所有护理服务。</w:t>
      </w:r>
    </w:p>
    <w:p w14:paraId="4F37AA64">
      <w:pPr>
        <w:ind w:firstLine="420"/>
        <w:rPr>
          <w:rFonts w:ascii="仿宋_GB2312"/>
          <w:bCs/>
          <w:sz w:val="30"/>
          <w:szCs w:val="30"/>
        </w:rPr>
      </w:pPr>
      <w:r>
        <w:rPr>
          <w:rFonts w:hint="eastAsia" w:ascii="仿宋_GB2312"/>
          <w:bCs/>
          <w:sz w:val="30"/>
          <w:szCs w:val="30"/>
        </w:rPr>
        <w:t>12.实名审核：支持人工审核服务对象、患者用户、入驻护士的实名认证资料，保障平台用户资质合规、真实有效。</w:t>
      </w:r>
    </w:p>
    <w:p w14:paraId="25908F41">
      <w:pPr>
        <w:ind w:firstLine="420"/>
        <w:rPr>
          <w:rFonts w:ascii="仿宋_GB2312"/>
          <w:bCs/>
          <w:sz w:val="30"/>
          <w:szCs w:val="30"/>
        </w:rPr>
      </w:pPr>
      <w:r>
        <w:rPr>
          <w:rFonts w:hint="eastAsia" w:ascii="仿宋_GB2312"/>
          <w:bCs/>
          <w:sz w:val="30"/>
          <w:szCs w:val="30"/>
        </w:rPr>
        <w:t>13.消息查询：支持查询系统短信、APP推送、微信服务号通知等各类消息的发送记录、推送状态，实现消息台账可追溯。</w:t>
      </w:r>
    </w:p>
    <w:p w14:paraId="35D46AAF">
      <w:pPr>
        <w:ind w:firstLine="420"/>
        <w:rPr>
          <w:rFonts w:ascii="仿宋_GB2312"/>
          <w:bCs/>
          <w:sz w:val="30"/>
          <w:szCs w:val="30"/>
        </w:rPr>
      </w:pPr>
      <w:r>
        <w:rPr>
          <w:rFonts w:hint="eastAsia" w:ascii="仿宋_GB2312"/>
          <w:bCs/>
          <w:sz w:val="30"/>
          <w:szCs w:val="30"/>
        </w:rPr>
        <w:t>（5）评估管理功能</w:t>
      </w:r>
    </w:p>
    <w:p w14:paraId="310D8CA6">
      <w:pPr>
        <w:ind w:firstLine="420"/>
        <w:rPr>
          <w:rFonts w:ascii="仿宋_GB2312"/>
          <w:bCs/>
          <w:sz w:val="30"/>
          <w:szCs w:val="30"/>
        </w:rPr>
      </w:pPr>
      <w:r>
        <w:rPr>
          <w:rFonts w:hint="eastAsia" w:ascii="仿宋_GB2312"/>
          <w:bCs/>
          <w:sz w:val="30"/>
          <w:szCs w:val="30"/>
        </w:rPr>
        <w:t>1.评估量表管理：支持查看机构全部护理评估量表，支持新增、修改评估量表内容，可将定制化评估量表关联引用至对应机构服务项目中。</w:t>
      </w:r>
    </w:p>
    <w:p w14:paraId="6FD9844F">
      <w:pPr>
        <w:ind w:firstLine="420"/>
        <w:rPr>
          <w:rFonts w:ascii="仿宋_GB2312"/>
          <w:bCs/>
          <w:sz w:val="30"/>
          <w:szCs w:val="30"/>
        </w:rPr>
      </w:pPr>
      <w:r>
        <w:rPr>
          <w:rFonts w:hint="eastAsia" w:ascii="仿宋_GB2312"/>
          <w:bCs/>
          <w:sz w:val="30"/>
          <w:szCs w:val="30"/>
        </w:rPr>
        <w:t>2.评估记录管理：支持后台查看护士上门服务全过程中对患者开展的各项评估记录，实现护理评估标准化、痕迹化管理。</w:t>
      </w:r>
    </w:p>
    <w:p w14:paraId="06B5B9E6">
      <w:pPr>
        <w:ind w:firstLine="420"/>
        <w:rPr>
          <w:rFonts w:ascii="仿宋_GB2312"/>
          <w:bCs/>
          <w:sz w:val="30"/>
          <w:szCs w:val="30"/>
        </w:rPr>
      </w:pPr>
      <w:r>
        <w:rPr>
          <w:rFonts w:hint="eastAsia" w:ascii="仿宋_GB2312"/>
          <w:bCs/>
          <w:sz w:val="30"/>
          <w:szCs w:val="30"/>
        </w:rPr>
        <w:t>（6）物资管理功能</w:t>
      </w:r>
    </w:p>
    <w:p w14:paraId="04A94EF3">
      <w:pPr>
        <w:ind w:firstLine="420"/>
        <w:rPr>
          <w:rFonts w:ascii="仿宋_GB2312"/>
          <w:bCs/>
          <w:sz w:val="30"/>
          <w:szCs w:val="30"/>
        </w:rPr>
      </w:pPr>
      <w:r>
        <w:rPr>
          <w:rFonts w:hint="eastAsia" w:ascii="仿宋_GB2312"/>
          <w:bCs/>
          <w:sz w:val="30"/>
          <w:szCs w:val="30"/>
        </w:rPr>
        <w:t>1.物资包管理：支持将各类护理物资组合打包，生成不同规格的服务物资包，可对物资包进行新增、查询、维护、管理操作，支持套餐化售卖使用。</w:t>
      </w:r>
    </w:p>
    <w:p w14:paraId="6E468210">
      <w:pPr>
        <w:ind w:firstLine="420"/>
        <w:rPr>
          <w:rFonts w:ascii="仿宋_GB2312"/>
          <w:bCs/>
          <w:sz w:val="30"/>
          <w:szCs w:val="30"/>
        </w:rPr>
      </w:pPr>
      <w:r>
        <w:rPr>
          <w:rFonts w:hint="eastAsia" w:ascii="仿宋_GB2312"/>
          <w:bCs/>
          <w:sz w:val="30"/>
          <w:szCs w:val="30"/>
        </w:rPr>
        <w:t>2.仓库日志：支持通过物资名称、物资单号、物资品牌、物资规格、平台物资编号、操作类型等多维度条件，查询物资出入库操作日志，全程溯源物资流转记录。</w:t>
      </w:r>
    </w:p>
    <w:p w14:paraId="21F88C16">
      <w:pPr>
        <w:ind w:firstLine="420"/>
        <w:rPr>
          <w:rFonts w:ascii="仿宋_GB2312"/>
          <w:bCs/>
          <w:sz w:val="30"/>
          <w:szCs w:val="30"/>
        </w:rPr>
      </w:pPr>
      <w:r>
        <w:rPr>
          <w:rFonts w:hint="eastAsia" w:ascii="仿宋_GB2312"/>
          <w:bCs/>
          <w:sz w:val="30"/>
          <w:szCs w:val="30"/>
        </w:rPr>
        <w:t>3.物资目录管理：支持新建仓库、编辑仓库基础信息，可批量维护多个仓库名称、地理位置、仓库管理员等信息，完善物资仓储体系。</w:t>
      </w:r>
    </w:p>
    <w:p w14:paraId="5722ED99">
      <w:pPr>
        <w:ind w:firstLine="420"/>
        <w:rPr>
          <w:rFonts w:ascii="仿宋_GB2312"/>
          <w:bCs/>
          <w:sz w:val="30"/>
          <w:szCs w:val="30"/>
        </w:rPr>
      </w:pPr>
      <w:r>
        <w:rPr>
          <w:rFonts w:hint="eastAsia" w:ascii="仿宋_GB2312"/>
          <w:bCs/>
          <w:sz w:val="30"/>
          <w:szCs w:val="30"/>
        </w:rPr>
        <w:t>4.仓库管理：支持维护各仓库地址、管理员信息、所属使用机构等基础仓储资料，实现多仓库规范化管理。</w:t>
      </w:r>
    </w:p>
    <w:p w14:paraId="7201FCF7">
      <w:pPr>
        <w:ind w:firstLine="420"/>
        <w:rPr>
          <w:rFonts w:ascii="仿宋_GB2312"/>
          <w:bCs/>
          <w:sz w:val="30"/>
          <w:szCs w:val="30"/>
        </w:rPr>
      </w:pPr>
      <w:r>
        <w:rPr>
          <w:rFonts w:hint="eastAsia" w:ascii="仿宋_GB2312"/>
          <w:bCs/>
          <w:sz w:val="30"/>
          <w:szCs w:val="30"/>
        </w:rPr>
        <w:t>5.物资查询：支持实时查询各仓库物资剩余库存数量，可批量导出机构全部物资使用数据，精准掌握物资消耗及库存情况。</w:t>
      </w:r>
    </w:p>
    <w:p w14:paraId="51528FA2">
      <w:pPr>
        <w:ind w:firstLine="420"/>
        <w:rPr>
          <w:rFonts w:ascii="仿宋_GB2312"/>
          <w:bCs/>
          <w:sz w:val="30"/>
          <w:szCs w:val="30"/>
        </w:rPr>
      </w:pPr>
      <w:r>
        <w:rPr>
          <w:rFonts w:hint="eastAsia" w:ascii="仿宋_GB2312"/>
          <w:bCs/>
          <w:sz w:val="30"/>
          <w:szCs w:val="30"/>
        </w:rPr>
        <w:t>6.物资出库：支持标准化物资出库登记、审核、记录管理，规范物资领用出库流程。</w:t>
      </w:r>
    </w:p>
    <w:p w14:paraId="675D1616">
      <w:pPr>
        <w:ind w:firstLine="420"/>
        <w:rPr>
          <w:rFonts w:ascii="仿宋_GB2312"/>
          <w:bCs/>
          <w:sz w:val="30"/>
          <w:szCs w:val="30"/>
        </w:rPr>
      </w:pPr>
      <w:r>
        <w:rPr>
          <w:rFonts w:hint="eastAsia" w:ascii="仿宋_GB2312"/>
          <w:bCs/>
          <w:sz w:val="30"/>
          <w:szCs w:val="30"/>
        </w:rPr>
        <w:t>7.物资入库：支持将各类护理物资分类入库至对应仓库，支持后续物资信息维护、库存更新管理。</w:t>
      </w:r>
    </w:p>
    <w:p w14:paraId="79253AD5">
      <w:pPr>
        <w:ind w:firstLine="420"/>
        <w:rPr>
          <w:rFonts w:ascii="仿宋_GB2312"/>
          <w:bCs/>
          <w:sz w:val="30"/>
          <w:szCs w:val="30"/>
        </w:rPr>
      </w:pPr>
      <w:r>
        <w:rPr>
          <w:rFonts w:hint="eastAsia" w:ascii="仿宋_GB2312"/>
          <w:bCs/>
          <w:sz w:val="30"/>
          <w:szCs w:val="30"/>
        </w:rPr>
        <w:t>8.盘点管理：支持实物库存与系统台账盘点对账，手动录入盘点数量，核对库存差异，可执行盘盈、盘亏操作，同步调整系统库存数据。</w:t>
      </w:r>
    </w:p>
    <w:p w14:paraId="244EEC5A">
      <w:pPr>
        <w:ind w:firstLine="420"/>
        <w:rPr>
          <w:rFonts w:ascii="仿宋_GB2312"/>
          <w:bCs/>
          <w:sz w:val="30"/>
          <w:szCs w:val="30"/>
        </w:rPr>
      </w:pPr>
      <w:r>
        <w:rPr>
          <w:rFonts w:hint="eastAsia" w:ascii="仿宋_GB2312"/>
          <w:bCs/>
          <w:sz w:val="30"/>
          <w:szCs w:val="30"/>
        </w:rPr>
        <w:t>9.物资请领管理：支持查看员工物资请领记录及详细信息，可对请领工单进行待处理、驳回、确认发货等操作，管控物资申领流程。</w:t>
      </w:r>
    </w:p>
    <w:p w14:paraId="02CDECA0">
      <w:pPr>
        <w:ind w:firstLine="422"/>
        <w:rPr>
          <w:rFonts w:ascii="仿宋_GB2312"/>
          <w:b/>
          <w:bCs/>
          <w:sz w:val="30"/>
          <w:szCs w:val="30"/>
        </w:rPr>
      </w:pPr>
      <w:r>
        <w:rPr>
          <w:rFonts w:hint="eastAsia" w:ascii="仿宋_GB2312"/>
          <w:b/>
          <w:bCs/>
          <w:sz w:val="30"/>
          <w:szCs w:val="30"/>
        </w:rPr>
        <w:t>4.基础保障</w:t>
      </w:r>
    </w:p>
    <w:p w14:paraId="30FB64E2">
      <w:pPr>
        <w:ind w:firstLine="420"/>
        <w:rPr>
          <w:rFonts w:ascii="仿宋_GB2312" w:hAnsi="Times New Roman" w:cs="Times New Roman"/>
          <w:sz w:val="30"/>
          <w:szCs w:val="30"/>
        </w:rPr>
      </w:pPr>
      <w:r>
        <w:rPr>
          <w:rFonts w:hint="eastAsia" w:ascii="仿宋_GB2312" w:hAnsi="Times New Roman" w:cs="Times New Roman"/>
          <w:sz w:val="30"/>
          <w:szCs w:val="30"/>
        </w:rPr>
        <w:t>1.数据安全与隐私保护：严格落实《网络安全法》《个人信息保护法》，患者信息、诊疗数据、护理数据合规加密，严禁泄露、篡改、违规传输，支持数据脱敏、权限分级管理。</w:t>
      </w:r>
    </w:p>
    <w:p w14:paraId="3759F2C5">
      <w:pPr>
        <w:ind w:firstLine="420"/>
        <w:rPr>
          <w:rFonts w:ascii="仿宋_GB2312" w:hAnsi="Times New Roman" w:cs="Times New Roman"/>
          <w:sz w:val="30"/>
          <w:szCs w:val="30"/>
        </w:rPr>
      </w:pPr>
      <w:r>
        <w:rPr>
          <w:rFonts w:hint="eastAsia" w:ascii="仿宋_GB2312" w:hAnsi="Times New Roman" w:cs="Times New Roman"/>
          <w:sz w:val="30"/>
          <w:szCs w:val="30"/>
        </w:rPr>
        <w:t>2.系统稳定运维：支持7×24小时稳定运行，高并发、低延迟，具备故障自动恢复、数据自动备份功能。</w:t>
      </w:r>
    </w:p>
    <w:p w14:paraId="10C330AF">
      <w:pPr>
        <w:ind w:firstLine="422"/>
        <w:rPr>
          <w:rFonts w:ascii="仿宋_GB2312"/>
          <w:b/>
          <w:bCs/>
          <w:sz w:val="30"/>
          <w:szCs w:val="30"/>
        </w:rPr>
      </w:pPr>
      <w:r>
        <w:rPr>
          <w:rFonts w:hint="eastAsia" w:ascii="仿宋_GB2312"/>
          <w:b/>
          <w:bCs/>
          <w:sz w:val="30"/>
          <w:szCs w:val="30"/>
        </w:rPr>
        <w:t>四、服务运营</w:t>
      </w:r>
    </w:p>
    <w:p w14:paraId="2B2F5722">
      <w:pPr>
        <w:ind w:firstLine="420"/>
        <w:rPr>
          <w:rFonts w:ascii="仿宋_GB2312"/>
          <w:sz w:val="30"/>
          <w:szCs w:val="30"/>
        </w:rPr>
      </w:pPr>
      <w:r>
        <w:rPr>
          <w:rFonts w:hint="eastAsia" w:ascii="仿宋_GB2312"/>
          <w:color w:val="000000" w:themeColor="text1"/>
          <w:sz w:val="30"/>
          <w:szCs w:val="30"/>
          <w14:textFill>
            <w14:solidFill>
              <w14:schemeClr w14:val="tx1"/>
            </w14:solidFill>
          </w14:textFill>
        </w:rPr>
        <w:t>供应商除了提供开展“互联网+护理服务”所需的信息化平台外，还需要为本院“互联网+护理服务”的开展提供专业化运营服务。运营服务覆盖的服务内容包含：第三方流量费（包括短信服务、语音服务、网络电话、地图服务、实名认证、保险等第三方服务）、客户服务、运营服务、资金服务（财务对账及结算、服务退费管理、税务缴纳、票据开立）、市场宣传服务、系统功能升级。</w:t>
      </w:r>
    </w:p>
    <w:p w14:paraId="522E779C">
      <w:pPr>
        <w:ind w:firstLine="420"/>
        <w:rPr>
          <w:rFonts w:ascii="仿宋_GB2312"/>
          <w:sz w:val="30"/>
          <w:szCs w:val="30"/>
        </w:rPr>
      </w:pPr>
      <w:r>
        <w:rPr>
          <w:rFonts w:hint="eastAsia" w:ascii="仿宋_GB2312"/>
          <w:sz w:val="30"/>
          <w:szCs w:val="30"/>
        </w:rPr>
        <w:t>1.合规运营：严格遵守国家及省市互联网+护理服务监管政策，杜绝违规服务、超范围服务。</w:t>
      </w:r>
    </w:p>
    <w:p w14:paraId="5BAF87B8">
      <w:pPr>
        <w:ind w:firstLine="420"/>
        <w:rPr>
          <w:rFonts w:ascii="仿宋_GB2312"/>
          <w:sz w:val="30"/>
          <w:szCs w:val="30"/>
        </w:rPr>
      </w:pPr>
      <w:r>
        <w:rPr>
          <w:rFonts w:hint="eastAsia" w:ascii="仿宋_GB2312"/>
          <w:sz w:val="30"/>
          <w:szCs w:val="30"/>
        </w:rPr>
        <w:t>2.全程质控：协助医院建立上门护理服务质量管控体系。</w:t>
      </w:r>
    </w:p>
    <w:p w14:paraId="77F674D5">
      <w:pPr>
        <w:ind w:firstLine="420"/>
        <w:rPr>
          <w:rFonts w:ascii="仿宋_GB2312"/>
          <w:sz w:val="30"/>
          <w:szCs w:val="30"/>
        </w:rPr>
      </w:pPr>
      <w:r>
        <w:rPr>
          <w:rFonts w:hint="eastAsia" w:ascii="仿宋_GB2312"/>
          <w:sz w:val="30"/>
          <w:szCs w:val="30"/>
        </w:rPr>
        <w:t>3.安全保障：建立医疗风险防控、纠纷处理、应急处置机制，为上门护理服务提供安全保障。</w:t>
      </w:r>
    </w:p>
    <w:p w14:paraId="44ED0B29">
      <w:pPr>
        <w:ind w:firstLine="420"/>
        <w:rPr>
          <w:rFonts w:ascii="仿宋_GB2312"/>
          <w:sz w:val="30"/>
          <w:szCs w:val="30"/>
        </w:rPr>
      </w:pPr>
      <w:r>
        <w:rPr>
          <w:rFonts w:hint="eastAsia" w:ascii="仿宋_GB2312"/>
          <w:sz w:val="30"/>
          <w:szCs w:val="30"/>
        </w:rPr>
        <w:t>4.培训支持：定期为医院护士提供平台操作、服务规范、安全风险、应急处理等专项培训。</w:t>
      </w:r>
    </w:p>
    <w:p w14:paraId="54D2006E">
      <w:pPr>
        <w:ind w:firstLine="420"/>
        <w:rPr>
          <w:rFonts w:ascii="仿宋_GB2312"/>
          <w:sz w:val="30"/>
          <w:szCs w:val="30"/>
        </w:rPr>
      </w:pPr>
      <w:r>
        <w:rPr>
          <w:rFonts w:hint="eastAsia" w:ascii="仿宋_GB2312"/>
          <w:sz w:val="30"/>
          <w:szCs w:val="30"/>
        </w:rPr>
        <w:t>5.运维保障：配备专属项目对接人员、技术运维团队，提供技术支持，及时处理系统故障、订单异常、用户投诉等问题。</w:t>
      </w:r>
    </w:p>
    <w:p w14:paraId="17676251">
      <w:pPr>
        <w:ind w:firstLine="420"/>
        <w:rPr>
          <w:rFonts w:ascii="仿宋_GB2312"/>
          <w:b/>
          <w:bCs/>
          <w:sz w:val="30"/>
          <w:szCs w:val="30"/>
        </w:rPr>
      </w:pPr>
      <w:r>
        <w:rPr>
          <w:rFonts w:hint="eastAsia" w:ascii="仿宋_GB2312"/>
          <w:sz w:val="30"/>
          <w:szCs w:val="30"/>
        </w:rPr>
        <w:t>★</w:t>
      </w:r>
      <w:r>
        <w:rPr>
          <w:rFonts w:hint="eastAsia" w:ascii="仿宋_GB2312"/>
          <w:b/>
          <w:bCs/>
          <w:sz w:val="30"/>
          <w:szCs w:val="30"/>
        </w:rPr>
        <w:t>五、商务要求</w:t>
      </w:r>
    </w:p>
    <w:p w14:paraId="7433758B">
      <w:pPr>
        <w:ind w:firstLine="420"/>
        <w:rPr>
          <w:rFonts w:ascii="仿宋_GB2312" w:hAnsi="Times New Roman" w:cs="Times New Roman"/>
          <w:sz w:val="30"/>
          <w:szCs w:val="30"/>
        </w:rPr>
      </w:pPr>
      <w:r>
        <w:rPr>
          <w:rFonts w:hint="eastAsia" w:ascii="仿宋_GB2312" w:hAnsi="Times New Roman" w:cs="Times New Roman"/>
          <w:sz w:val="30"/>
          <w:szCs w:val="30"/>
        </w:rPr>
        <w:t>1.合同签订要求：成交供应商须在中标通知书发出之日起15个自然日内，与采购人完成正式合同签订工作。</w:t>
      </w:r>
    </w:p>
    <w:p w14:paraId="75315792">
      <w:pPr>
        <w:ind w:firstLine="420"/>
        <w:rPr>
          <w:rFonts w:ascii="仿宋_GB2312" w:hAnsi="Times New Roman" w:cs="Times New Roman"/>
          <w:sz w:val="30"/>
          <w:szCs w:val="30"/>
        </w:rPr>
      </w:pPr>
      <w:r>
        <w:rPr>
          <w:rFonts w:hint="eastAsia" w:ascii="仿宋_GB2312" w:hAnsi="Times New Roman" w:cs="Times New Roman"/>
          <w:sz w:val="30"/>
          <w:szCs w:val="30"/>
        </w:rPr>
        <w:t>2.合同履行期限：本项目合同服务履行期限为</w:t>
      </w:r>
      <w:r>
        <w:rPr>
          <w:rFonts w:hint="eastAsia" w:ascii="仿宋_GB2312" w:hAnsi="Times New Roman" w:cs="Times New Roman"/>
          <w:sz w:val="30"/>
          <w:szCs w:val="30"/>
          <w:lang w:val="en-US" w:eastAsia="zh-CN"/>
        </w:rPr>
        <w:t>2</w:t>
      </w:r>
      <w:r>
        <w:rPr>
          <w:rFonts w:hint="eastAsia" w:ascii="仿宋_GB2312" w:hAnsi="Times New Roman" w:cs="Times New Roman"/>
          <w:sz w:val="30"/>
          <w:szCs w:val="30"/>
        </w:rPr>
        <w:t>年，具体起止日期以双方正式签订的合同文本约定为准。</w:t>
      </w:r>
    </w:p>
    <w:p w14:paraId="00F96278">
      <w:pPr>
        <w:ind w:firstLine="420"/>
        <w:rPr>
          <w:rFonts w:ascii="仿宋_GB2312" w:hAnsi="Times New Roman" w:cs="Times New Roman"/>
          <w:sz w:val="30"/>
          <w:szCs w:val="30"/>
        </w:rPr>
      </w:pPr>
      <w:r>
        <w:rPr>
          <w:rFonts w:hint="eastAsia" w:ascii="仿宋_GB2312" w:hAnsi="Times New Roman" w:cs="Times New Roman"/>
          <w:sz w:val="30"/>
          <w:szCs w:val="30"/>
        </w:rPr>
        <w:t>3.履约地点：项目履约实施地点为采购人指定地点。</w:t>
      </w:r>
    </w:p>
    <w:p w14:paraId="7A4354C1">
      <w:pPr>
        <w:ind w:firstLine="420"/>
        <w:rPr>
          <w:rFonts w:ascii="仿宋_GB2312" w:hAnsi="Times New Roman" w:cs="Times New Roman"/>
          <w:sz w:val="30"/>
          <w:szCs w:val="30"/>
        </w:rPr>
      </w:pPr>
      <w:r>
        <w:rPr>
          <w:rFonts w:hint="eastAsia" w:ascii="仿宋_GB2312" w:hAnsi="Times New Roman" w:cs="Times New Roman"/>
          <w:sz w:val="30"/>
          <w:szCs w:val="30"/>
        </w:rPr>
        <w:t>4.项目交付周期：供应商需在合同签订之日起10个自然日内，完成本院互联网+护理服务平台的整体搭建、部署、调试上线工作，并具备正式业务运营条件，可正常开展相关护理服务业务。</w:t>
      </w:r>
    </w:p>
    <w:p w14:paraId="0417750B">
      <w:pPr>
        <w:ind w:firstLine="420"/>
        <w:rPr>
          <w:rFonts w:ascii="仿宋_GB2312" w:hAnsi="Times New Roman" w:cs="Times New Roman"/>
          <w:sz w:val="30"/>
          <w:szCs w:val="30"/>
        </w:rPr>
      </w:pPr>
      <w:r>
        <w:rPr>
          <w:rFonts w:hint="eastAsia" w:ascii="仿宋_GB2312" w:hAnsi="Times New Roman" w:cs="Times New Roman"/>
          <w:sz w:val="30"/>
          <w:szCs w:val="30"/>
        </w:rPr>
        <w:t>5.验收方式：项目整体及各项服务内容严格按照本项目比选文件、采购需求、技术方案及国家行业标准要求开展验收工作，由采购人组织专项验收。</w:t>
      </w:r>
    </w:p>
    <w:p w14:paraId="12F1C87E">
      <w:pPr>
        <w:ind w:firstLine="420"/>
        <w:rPr>
          <w:rFonts w:ascii="仿宋_GB2312" w:hAnsi="Times New Roman" w:cs="Times New Roman"/>
          <w:sz w:val="30"/>
          <w:szCs w:val="30"/>
        </w:rPr>
      </w:pPr>
      <w:r>
        <w:rPr>
          <w:rFonts w:hint="eastAsia" w:ascii="仿宋_GB2312" w:hAnsi="Times New Roman" w:cs="Times New Roman"/>
          <w:sz w:val="30"/>
          <w:szCs w:val="30"/>
        </w:rPr>
        <w:t>6.履约标准：项目建设、平台运营、服务开展全过程须严格符合国家、省、市关于互联网+医疗健康、互联网护理服务的相关法律法规、行业规范及本比选文件全部要求，确保合规、安全、稳定运营。</w:t>
      </w:r>
    </w:p>
    <w:p w14:paraId="60A544AA">
      <w:pPr>
        <w:ind w:firstLine="420"/>
        <w:rPr>
          <w:rFonts w:ascii="仿宋_GB2312" w:hAnsi="Times New Roman" w:cs="Times New Roman"/>
          <w:sz w:val="30"/>
          <w:szCs w:val="30"/>
        </w:rPr>
      </w:pPr>
      <w:r>
        <w:rPr>
          <w:rFonts w:hint="eastAsia" w:ascii="仿宋_GB2312" w:hAnsi="Times New Roman" w:cs="Times New Roman"/>
          <w:sz w:val="30"/>
          <w:szCs w:val="30"/>
        </w:rPr>
        <w:t>7.报价要求：供应商本次投标所有报价均为人民币报价，报价真实有效、合规合法，包含项目全部成本及税费。</w:t>
      </w:r>
    </w:p>
    <w:p w14:paraId="3F48251E">
      <w:pPr>
        <w:ind w:firstLine="420"/>
        <w:rPr>
          <w:rFonts w:ascii="仿宋_GB2312" w:hAnsi="Times New Roman" w:cs="Times New Roman"/>
          <w:sz w:val="30"/>
          <w:szCs w:val="30"/>
        </w:rPr>
      </w:pPr>
      <w:r>
        <w:rPr>
          <w:rFonts w:hint="eastAsia" w:ascii="仿宋_GB2312" w:hAnsi="Times New Roman" w:cs="Times New Roman"/>
          <w:sz w:val="30"/>
          <w:szCs w:val="30"/>
        </w:rPr>
        <w:t>8.知识产权要求：成交供应商须保证采购人在中华人民共和国境内使用本项目货物、软件平台及配套服务时，不存在任何知识产权权属纠纷，不会被第三方提起专利权、著作权及其他知识产权侵权追责。若发生第三方侵权指控、投诉、诉讼等情况，全部法律责任、经济损失、维权费用均由成交供应商全权承担，采购人不承担任何责任。</w:t>
      </w:r>
    </w:p>
    <w:p w14:paraId="4DC4D74D">
      <w:pPr>
        <w:ind w:firstLine="420"/>
        <w:rPr>
          <w:rFonts w:ascii="仿宋_GB2312" w:hAnsi="Times New Roman" w:cs="Times New Roman"/>
          <w:sz w:val="30"/>
          <w:szCs w:val="30"/>
        </w:rPr>
      </w:pPr>
      <w:r>
        <w:rPr>
          <w:rFonts w:hint="eastAsia" w:ascii="仿宋_GB2312" w:hAnsi="Times New Roman" w:cs="Times New Roman"/>
          <w:sz w:val="30"/>
          <w:szCs w:val="30"/>
        </w:rPr>
        <w:t>9.人员培训要求：成交供应商须承担免费培训义务，针对平台操作、系统运维、业务使用等内容，为采购人医护人员、管理人员开展系统化、专业化免费培训，确保相关人员熟练掌握平台操作流程，可独立开展日常使用及管理工作。</w:t>
      </w:r>
    </w:p>
    <w:p w14:paraId="138471ED">
      <w:pPr>
        <w:ind w:firstLine="420"/>
        <w:rPr>
          <w:rFonts w:ascii="仿宋_GB2312" w:hAnsi="Times New Roman" w:cs="Times New Roman"/>
          <w:sz w:val="30"/>
          <w:szCs w:val="30"/>
        </w:rPr>
      </w:pPr>
      <w:r>
        <w:rPr>
          <w:rFonts w:hint="eastAsia" w:ascii="仿宋_GB2312" w:hAnsi="Times New Roman" w:cs="Times New Roman"/>
          <w:sz w:val="30"/>
          <w:szCs w:val="30"/>
        </w:rPr>
        <w:t>10.履约考核与合同终止：若供应商在合作期内未达到本文件及合同约定的服务标准、技术要求，存在服务不达标、运营违规、管理疏漏等问题，或因供应商原因损害患者合法权益、造成不良医疗及舆情影响的，采购人有权单方面提前终止合同，收回平台使用权及项目运营权限，并追究供应商相应违约责任。</w:t>
      </w:r>
    </w:p>
    <w:p w14:paraId="5B13597A">
      <w:pPr>
        <w:ind w:firstLine="422"/>
        <w:rPr>
          <w:rFonts w:ascii="仿宋_GB2312" w:hAnsi="Times New Roman" w:cs="Times New Roman"/>
          <w:sz w:val="30"/>
          <w:szCs w:val="30"/>
        </w:rPr>
      </w:pPr>
      <w:r>
        <w:rPr>
          <w:rFonts w:hint="eastAsia" w:ascii="仿宋_GB2312" w:hAnsi="Times New Roman" w:cs="Times New Roman"/>
          <w:b/>
          <w:bCs/>
          <w:sz w:val="30"/>
          <w:szCs w:val="30"/>
        </w:rPr>
        <w:t>注:</w:t>
      </w:r>
      <w:r>
        <w:rPr>
          <w:rFonts w:hint="eastAsia" w:ascii="仿宋_GB2312" w:hAnsi="Times New Roman" w:cs="Times New Roman"/>
          <w:sz w:val="30"/>
          <w:szCs w:val="30"/>
        </w:rPr>
        <w:t>合同履行期间，若供应商不能满足上述商务要求，采购人有权随时取消供应商的资格。</w:t>
      </w:r>
      <w:r>
        <w:rPr>
          <w:rFonts w:ascii="仿宋_GB2312" w:hAnsi="Times New Roman" w:cs="Times New Roman"/>
          <w:sz w:val="30"/>
          <w:szCs w:val="30"/>
        </w:rPr>
        <w:br w:type="page"/>
      </w:r>
    </w:p>
    <w:p w14:paraId="105C88FF">
      <w:pPr>
        <w:pStyle w:val="2"/>
        <w:ind w:left="0"/>
        <w:rPr>
          <w:rFonts w:ascii="仿宋_GB2312"/>
        </w:rPr>
      </w:pPr>
      <w:bookmarkStart w:id="0" w:name="_Toc205477477"/>
      <w:bookmarkStart w:id="1" w:name="_Toc205800415"/>
      <w:r>
        <w:rPr>
          <w:rFonts w:hint="eastAsia" w:ascii="仿宋_GB2312"/>
        </w:rPr>
        <w:t>评标方法</w:t>
      </w:r>
      <w:bookmarkEnd w:id="0"/>
      <w:bookmarkEnd w:id="1"/>
    </w:p>
    <w:p w14:paraId="5ED23E0B">
      <w:pPr>
        <w:ind w:firstLine="42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本项目采取综合评分法对投标人的投标文件进行评审。评标办法如下：</w:t>
      </w:r>
    </w:p>
    <w:tbl>
      <w:tblPr>
        <w:tblStyle w:val="14"/>
        <w:tblW w:w="85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1111"/>
        <w:gridCol w:w="5579"/>
        <w:gridCol w:w="737"/>
      </w:tblGrid>
      <w:tr w14:paraId="27B21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1129" w:type="dxa"/>
            <w:noWrap/>
            <w:vAlign w:val="center"/>
          </w:tcPr>
          <w:p w14:paraId="523C1D5E">
            <w:pPr>
              <w:pStyle w:val="19"/>
              <w:spacing w:line="360" w:lineRule="auto"/>
              <w:jc w:val="center"/>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评分项目</w:t>
            </w:r>
          </w:p>
        </w:tc>
        <w:tc>
          <w:tcPr>
            <w:tcW w:w="1111" w:type="dxa"/>
            <w:noWrap/>
            <w:vAlign w:val="center"/>
          </w:tcPr>
          <w:p w14:paraId="5286E833">
            <w:pPr>
              <w:pStyle w:val="19"/>
              <w:spacing w:line="360" w:lineRule="auto"/>
              <w:jc w:val="center"/>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分项名称</w:t>
            </w:r>
          </w:p>
        </w:tc>
        <w:tc>
          <w:tcPr>
            <w:tcW w:w="5579" w:type="dxa"/>
            <w:vAlign w:val="center"/>
          </w:tcPr>
          <w:p w14:paraId="483C583B">
            <w:pPr>
              <w:pStyle w:val="19"/>
              <w:spacing w:line="360" w:lineRule="auto"/>
              <w:jc w:val="center"/>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评分标准</w:t>
            </w:r>
          </w:p>
        </w:tc>
        <w:tc>
          <w:tcPr>
            <w:tcW w:w="737" w:type="dxa"/>
            <w:noWrap/>
            <w:vAlign w:val="center"/>
          </w:tcPr>
          <w:p w14:paraId="0822075C">
            <w:pPr>
              <w:pStyle w:val="19"/>
              <w:spacing w:line="360" w:lineRule="auto"/>
              <w:jc w:val="center"/>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满分</w:t>
            </w:r>
          </w:p>
        </w:tc>
      </w:tr>
      <w:tr w14:paraId="3BE5D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9" w:type="dxa"/>
            <w:noWrap/>
            <w:vAlign w:val="center"/>
          </w:tcPr>
          <w:p w14:paraId="2C625BE6">
            <w:pPr>
              <w:pStyle w:val="19"/>
              <w:spacing w:line="360" w:lineRule="auto"/>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价格部分</w:t>
            </w:r>
          </w:p>
          <w:p w14:paraId="32001E7B">
            <w:pPr>
              <w:pStyle w:val="19"/>
              <w:spacing w:line="360" w:lineRule="auto"/>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（10分）</w:t>
            </w:r>
          </w:p>
        </w:tc>
        <w:tc>
          <w:tcPr>
            <w:tcW w:w="1111" w:type="dxa"/>
            <w:noWrap/>
            <w:vAlign w:val="center"/>
          </w:tcPr>
          <w:p w14:paraId="35A88811">
            <w:pPr>
              <w:pStyle w:val="19"/>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投标报价</w:t>
            </w:r>
          </w:p>
        </w:tc>
        <w:tc>
          <w:tcPr>
            <w:tcW w:w="5579" w:type="dxa"/>
            <w:vAlign w:val="center"/>
          </w:tcPr>
          <w:p w14:paraId="595CC365">
            <w:pPr>
              <w:keepNext w:val="0"/>
              <w:keepLines w:val="0"/>
              <w:pageBreakBefore w:val="0"/>
              <w:widowControl w:val="0"/>
              <w:numPr>
                <w:ilvl w:val="255"/>
                <w:numId w:val="0"/>
              </w:numPr>
              <w:kinsoku/>
              <w:wordWrap/>
              <w:overflowPunct/>
              <w:topLinePunct w:val="0"/>
              <w:autoSpaceDE/>
              <w:autoSpaceDN/>
              <w:bidi w:val="0"/>
              <w:adjustRightInd w:val="0"/>
              <w:snapToGrid w:val="0"/>
              <w:spacing w:line="400" w:lineRule="exact"/>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满足招标文件要求且最低的参与评审价格为评标基准价，其价格分为满分。</w:t>
            </w:r>
          </w:p>
          <w:p w14:paraId="26837F21">
            <w:pPr>
              <w:keepNext w:val="0"/>
              <w:keepLines w:val="0"/>
              <w:pageBreakBefore w:val="0"/>
              <w:widowControl w:val="0"/>
              <w:numPr>
                <w:ilvl w:val="255"/>
                <w:numId w:val="0"/>
              </w:numPr>
              <w:kinsoku/>
              <w:wordWrap/>
              <w:overflowPunct/>
              <w:topLinePunct w:val="0"/>
              <w:autoSpaceDE/>
              <w:autoSpaceDN/>
              <w:bidi w:val="0"/>
              <w:adjustRightInd w:val="0"/>
              <w:snapToGrid w:val="0"/>
              <w:spacing w:line="400" w:lineRule="exact"/>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投标报价得分按照下列公式计算:投标报价得分=（评标基准价÷投标人报价）X10。得分保留至小数点后两位，第三位四舍五入。</w:t>
            </w:r>
          </w:p>
        </w:tc>
        <w:tc>
          <w:tcPr>
            <w:tcW w:w="737" w:type="dxa"/>
            <w:noWrap/>
            <w:vAlign w:val="center"/>
          </w:tcPr>
          <w:p w14:paraId="38B2D2AF">
            <w:pPr>
              <w:pStyle w:val="19"/>
              <w:spacing w:line="360" w:lineRule="auto"/>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10</w:t>
            </w:r>
          </w:p>
        </w:tc>
      </w:tr>
      <w:tr w14:paraId="03BC2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9" w:type="dxa"/>
            <w:vMerge w:val="restart"/>
            <w:noWrap/>
            <w:vAlign w:val="center"/>
          </w:tcPr>
          <w:p w14:paraId="43F6295C">
            <w:pPr>
              <w:pStyle w:val="19"/>
              <w:spacing w:line="360" w:lineRule="auto"/>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平台功能部分</w:t>
            </w:r>
          </w:p>
          <w:p w14:paraId="508A460E">
            <w:pPr>
              <w:pStyle w:val="19"/>
              <w:spacing w:line="360" w:lineRule="auto"/>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w:t>
            </w:r>
            <w:r>
              <w:rPr>
                <w:rFonts w:hint="eastAsia" w:ascii="仿宋_GB2312" w:hAnsi="仿宋_GB2312" w:eastAsia="仿宋_GB2312" w:cs="仿宋_GB2312"/>
                <w:sz w:val="30"/>
                <w:szCs w:val="30"/>
                <w:lang w:eastAsia="zh"/>
              </w:rPr>
              <w:t>0</w:t>
            </w:r>
            <w:r>
              <w:rPr>
                <w:rFonts w:hint="eastAsia" w:ascii="仿宋_GB2312" w:hAnsi="仿宋_GB2312" w:eastAsia="仿宋_GB2312" w:cs="仿宋_GB2312"/>
                <w:sz w:val="30"/>
                <w:szCs w:val="30"/>
              </w:rPr>
              <w:t>分）</w:t>
            </w:r>
          </w:p>
        </w:tc>
        <w:tc>
          <w:tcPr>
            <w:tcW w:w="1111" w:type="dxa"/>
            <w:noWrap/>
            <w:vAlign w:val="center"/>
          </w:tcPr>
          <w:p w14:paraId="1782C1A3">
            <w:pPr>
              <w:pStyle w:val="19"/>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平台功能要求响应</w:t>
            </w:r>
          </w:p>
        </w:tc>
        <w:tc>
          <w:tcPr>
            <w:tcW w:w="5579" w:type="dxa"/>
            <w:vAlign w:val="center"/>
          </w:tcPr>
          <w:p w14:paraId="7FE8F560">
            <w:pPr>
              <w:pStyle w:val="19"/>
              <w:keepNext w:val="0"/>
              <w:keepLines w:val="0"/>
              <w:pageBreakBefore w:val="0"/>
              <w:widowControl w:val="0"/>
              <w:kinsoku/>
              <w:wordWrap/>
              <w:overflowPunct/>
              <w:topLinePunct w:val="0"/>
              <w:autoSpaceDE/>
              <w:autoSpaceDN/>
              <w:bidi w:val="0"/>
              <w:spacing w:line="400" w:lineRule="exact"/>
              <w:textAlignment w:val="auto"/>
              <w:rPr>
                <w:rFonts w:hint="eastAsia" w:ascii="仿宋_GB2312" w:hAnsi="仿宋_GB2312" w:eastAsia="仿宋_GB2312" w:cs="仿宋_GB2312"/>
                <w:sz w:val="30"/>
                <w:szCs w:val="30"/>
                <w:lang w:eastAsia="zh"/>
              </w:rPr>
            </w:pPr>
            <w:r>
              <w:rPr>
                <w:rFonts w:hint="eastAsia" w:ascii="仿宋_GB2312" w:hAnsi="仿宋_GB2312" w:eastAsia="仿宋_GB2312" w:cs="仿宋_GB2312"/>
                <w:sz w:val="30"/>
                <w:szCs w:val="30"/>
              </w:rPr>
              <w:t>本项目功能需求</w:t>
            </w:r>
            <w:r>
              <w:rPr>
                <w:rFonts w:hint="eastAsia" w:ascii="仿宋_GB2312" w:hAnsi="仿宋_GB2312" w:eastAsia="仿宋_GB2312" w:cs="仿宋_GB2312"/>
                <w:sz w:val="30"/>
                <w:szCs w:val="30"/>
                <w:lang w:eastAsia="zh"/>
              </w:rPr>
              <w:t>要求完全响应，不允许负偏离。</w:t>
            </w:r>
          </w:p>
        </w:tc>
        <w:tc>
          <w:tcPr>
            <w:tcW w:w="737" w:type="dxa"/>
            <w:noWrap/>
            <w:vAlign w:val="center"/>
          </w:tcPr>
          <w:p w14:paraId="1D3E7BD9">
            <w:pPr>
              <w:pStyle w:val="19"/>
              <w:spacing w:line="360" w:lineRule="auto"/>
              <w:jc w:val="center"/>
              <w:rPr>
                <w:rFonts w:hint="eastAsia" w:ascii="仿宋_GB2312" w:hAnsi="仿宋_GB2312" w:eastAsia="仿宋_GB2312" w:cs="仿宋_GB2312"/>
                <w:sz w:val="30"/>
                <w:szCs w:val="30"/>
                <w:lang w:eastAsia="zh"/>
              </w:rPr>
            </w:pPr>
            <w:r>
              <w:rPr>
                <w:rFonts w:hint="eastAsia" w:ascii="仿宋_GB2312" w:hAnsi="仿宋_GB2312" w:eastAsia="仿宋_GB2312" w:cs="仿宋_GB2312"/>
                <w:sz w:val="30"/>
                <w:szCs w:val="30"/>
                <w:lang w:eastAsia="zh"/>
              </w:rPr>
              <w:t>-</w:t>
            </w:r>
          </w:p>
        </w:tc>
      </w:tr>
      <w:tr w14:paraId="6CEDF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9" w:type="dxa"/>
            <w:vMerge w:val="continue"/>
            <w:noWrap/>
            <w:vAlign w:val="center"/>
          </w:tcPr>
          <w:p w14:paraId="032A3559">
            <w:pPr>
              <w:pStyle w:val="19"/>
              <w:spacing w:line="360" w:lineRule="auto"/>
              <w:jc w:val="left"/>
              <w:rPr>
                <w:rFonts w:hint="eastAsia" w:ascii="仿宋_GB2312" w:hAnsi="仿宋_GB2312" w:eastAsia="仿宋_GB2312" w:cs="仿宋_GB2312"/>
                <w:sz w:val="30"/>
                <w:szCs w:val="30"/>
              </w:rPr>
            </w:pPr>
          </w:p>
        </w:tc>
        <w:tc>
          <w:tcPr>
            <w:tcW w:w="1111" w:type="dxa"/>
            <w:noWrap/>
            <w:vAlign w:val="center"/>
          </w:tcPr>
          <w:p w14:paraId="366F998A">
            <w:pPr>
              <w:pStyle w:val="19"/>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_GB2312" w:hAnsi="仿宋_GB2312" w:eastAsia="仿宋_GB2312" w:cs="仿宋_GB2312"/>
                <w:sz w:val="30"/>
                <w:szCs w:val="30"/>
                <w:lang w:val="en-US" w:eastAsia="zh-CN"/>
              </w:rPr>
            </w:pPr>
            <w:r>
              <w:rPr>
                <w:rFonts w:hint="eastAsia" w:ascii="仿宋_GB2312" w:hAnsi="仿宋_GB2312" w:cs="仿宋_GB2312"/>
                <w:sz w:val="30"/>
                <w:szCs w:val="30"/>
                <w:lang w:val="en-US" w:eastAsia="zh-CN"/>
              </w:rPr>
              <w:t>功能说明</w:t>
            </w:r>
          </w:p>
        </w:tc>
        <w:tc>
          <w:tcPr>
            <w:tcW w:w="5579" w:type="dxa"/>
            <w:vAlign w:val="center"/>
          </w:tcPr>
          <w:p w14:paraId="3B0A4D0A">
            <w:pPr>
              <w:pStyle w:val="19"/>
              <w:keepNext w:val="0"/>
              <w:keepLines w:val="0"/>
              <w:pageBreakBefore w:val="0"/>
              <w:widowControl w:val="0"/>
              <w:kinsoku/>
              <w:wordWrap/>
              <w:overflowPunct/>
              <w:topLinePunct w:val="0"/>
              <w:autoSpaceDE/>
              <w:autoSpaceDN/>
              <w:bidi w:val="0"/>
              <w:spacing w:line="40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系统</w:t>
            </w:r>
            <w:r>
              <w:rPr>
                <w:rFonts w:hint="eastAsia" w:ascii="仿宋_GB2312" w:hAnsi="仿宋_GB2312" w:cs="仿宋_GB2312"/>
                <w:sz w:val="30"/>
                <w:szCs w:val="30"/>
                <w:lang w:val="en-US" w:eastAsia="zh-CN"/>
              </w:rPr>
              <w:t>说明</w:t>
            </w: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eastAsia="zh"/>
              </w:rPr>
              <w:t>30</w:t>
            </w:r>
            <w:r>
              <w:rPr>
                <w:rFonts w:hint="eastAsia" w:ascii="仿宋_GB2312" w:hAnsi="仿宋_GB2312" w:eastAsia="仿宋_GB2312" w:cs="仿宋_GB2312"/>
                <w:sz w:val="30"/>
                <w:szCs w:val="30"/>
              </w:rPr>
              <w:t>分），专家根据</w:t>
            </w:r>
            <w:r>
              <w:rPr>
                <w:rFonts w:hint="eastAsia" w:ascii="仿宋_GB2312" w:hAnsi="仿宋_GB2312" w:cs="仿宋_GB2312"/>
                <w:sz w:val="30"/>
                <w:szCs w:val="30"/>
                <w:lang w:val="en-US" w:eastAsia="zh-CN"/>
              </w:rPr>
              <w:t>功能截图</w:t>
            </w:r>
            <w:r>
              <w:rPr>
                <w:rFonts w:hint="eastAsia" w:ascii="仿宋_GB2312" w:hAnsi="仿宋_GB2312" w:eastAsia="仿宋_GB2312" w:cs="仿宋_GB2312"/>
                <w:sz w:val="30"/>
                <w:szCs w:val="30"/>
              </w:rPr>
              <w:t>进行评分。</w:t>
            </w:r>
          </w:p>
          <w:p w14:paraId="0B1F9D93">
            <w:pPr>
              <w:pStyle w:val="19"/>
              <w:keepNext w:val="0"/>
              <w:keepLines w:val="0"/>
              <w:pageBreakBefore w:val="0"/>
              <w:widowControl w:val="0"/>
              <w:kinsoku/>
              <w:wordWrap/>
              <w:overflowPunct/>
              <w:topLinePunct w:val="0"/>
              <w:autoSpaceDE/>
              <w:autoSpaceDN/>
              <w:bidi w:val="0"/>
              <w:spacing w:line="40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投标人应按照如下功能要求</w:t>
            </w:r>
            <w:r>
              <w:rPr>
                <w:rFonts w:hint="eastAsia" w:ascii="仿宋_GB2312" w:hAnsi="仿宋_GB2312" w:cs="仿宋_GB2312"/>
                <w:sz w:val="30"/>
                <w:szCs w:val="30"/>
                <w:lang w:val="en-US" w:eastAsia="zh-CN"/>
              </w:rPr>
              <w:t>截图印证</w:t>
            </w:r>
            <w:r>
              <w:rPr>
                <w:rFonts w:hint="eastAsia" w:ascii="仿宋_GB2312" w:hAnsi="仿宋_GB2312" w:eastAsia="仿宋_GB2312" w:cs="仿宋_GB2312"/>
                <w:sz w:val="30"/>
                <w:szCs w:val="30"/>
              </w:rPr>
              <w:t>，每项功能</w:t>
            </w:r>
            <w:r>
              <w:rPr>
                <w:rFonts w:hint="eastAsia" w:ascii="仿宋_GB2312" w:hAnsi="仿宋_GB2312" w:cs="仿宋_GB2312"/>
                <w:sz w:val="30"/>
                <w:szCs w:val="30"/>
                <w:lang w:val="en-US" w:eastAsia="zh-CN"/>
              </w:rPr>
              <w:t>有对应截图印证</w:t>
            </w:r>
            <w:r>
              <w:rPr>
                <w:rFonts w:hint="eastAsia" w:ascii="仿宋_GB2312" w:hAnsi="仿宋_GB2312" w:eastAsia="仿宋_GB2312" w:cs="仿宋_GB2312"/>
                <w:sz w:val="30"/>
                <w:szCs w:val="30"/>
              </w:rPr>
              <w:t>得</w:t>
            </w:r>
            <w:r>
              <w:rPr>
                <w:rFonts w:hint="eastAsia" w:ascii="仿宋_GB2312" w:hAnsi="仿宋_GB2312" w:eastAsia="仿宋_GB2312" w:cs="仿宋_GB2312"/>
                <w:sz w:val="30"/>
                <w:szCs w:val="30"/>
                <w:lang w:eastAsia="zh"/>
              </w:rPr>
              <w:t>2</w:t>
            </w:r>
            <w:r>
              <w:rPr>
                <w:rFonts w:hint="eastAsia" w:ascii="仿宋_GB2312" w:hAnsi="仿宋_GB2312" w:eastAsia="仿宋_GB2312" w:cs="仿宋_GB2312"/>
                <w:sz w:val="30"/>
                <w:szCs w:val="30"/>
              </w:rPr>
              <w:t>分，</w:t>
            </w:r>
            <w:r>
              <w:rPr>
                <w:rFonts w:hint="eastAsia" w:ascii="仿宋_GB2312" w:hAnsi="仿宋_GB2312" w:cs="仿宋_GB2312"/>
                <w:sz w:val="30"/>
                <w:szCs w:val="30"/>
                <w:lang w:val="en-US" w:eastAsia="zh-CN"/>
              </w:rPr>
              <w:t>无印证材料或材料不符合</w:t>
            </w:r>
            <w:r>
              <w:rPr>
                <w:rFonts w:hint="eastAsia" w:ascii="仿宋_GB2312" w:hAnsi="仿宋_GB2312" w:eastAsia="仿宋_GB2312" w:cs="仿宋_GB2312"/>
                <w:sz w:val="30"/>
                <w:szCs w:val="30"/>
              </w:rPr>
              <w:t>不得分。</w:t>
            </w:r>
          </w:p>
          <w:p w14:paraId="2F76199D">
            <w:pPr>
              <w:pStyle w:val="19"/>
              <w:keepNext w:val="0"/>
              <w:keepLines w:val="0"/>
              <w:pageBreakBefore w:val="0"/>
              <w:widowControl w:val="0"/>
              <w:kinsoku/>
              <w:wordWrap/>
              <w:overflowPunct/>
              <w:topLinePunct w:val="0"/>
              <w:autoSpaceDE/>
              <w:autoSpaceDN/>
              <w:bidi w:val="0"/>
              <w:spacing w:line="40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1.用户实名认证；</w:t>
            </w:r>
          </w:p>
          <w:p w14:paraId="5CAB6333">
            <w:pPr>
              <w:pStyle w:val="19"/>
              <w:keepNext w:val="0"/>
              <w:keepLines w:val="0"/>
              <w:pageBreakBefore w:val="0"/>
              <w:widowControl w:val="0"/>
              <w:kinsoku/>
              <w:wordWrap/>
              <w:overflowPunct/>
              <w:topLinePunct w:val="0"/>
              <w:autoSpaceDE/>
              <w:autoSpaceDN/>
              <w:bidi w:val="0"/>
              <w:spacing w:line="40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2.自动获取用户当前的定位城市信息，根据所选城市展示可提供的服务项目；</w:t>
            </w:r>
          </w:p>
          <w:p w14:paraId="49017002">
            <w:pPr>
              <w:pStyle w:val="19"/>
              <w:keepNext w:val="0"/>
              <w:keepLines w:val="0"/>
              <w:pageBreakBefore w:val="0"/>
              <w:widowControl w:val="0"/>
              <w:kinsoku/>
              <w:wordWrap/>
              <w:overflowPunct/>
              <w:topLinePunct w:val="0"/>
              <w:autoSpaceDE/>
              <w:autoSpaceDN/>
              <w:bidi w:val="0"/>
              <w:spacing w:line="40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3.具备专家咨询及专科咨询功能，用户可以直接选择图文等方式进行提问；</w:t>
            </w:r>
          </w:p>
          <w:p w14:paraId="1377F8A9">
            <w:pPr>
              <w:pStyle w:val="19"/>
              <w:keepNext w:val="0"/>
              <w:keepLines w:val="0"/>
              <w:pageBreakBefore w:val="0"/>
              <w:widowControl w:val="0"/>
              <w:kinsoku/>
              <w:wordWrap/>
              <w:overflowPunct/>
              <w:topLinePunct w:val="0"/>
              <w:autoSpaceDE/>
              <w:autoSpaceDN/>
              <w:bidi w:val="0"/>
              <w:spacing w:line="400" w:lineRule="exact"/>
              <w:textAlignment w:val="auto"/>
              <w:rPr>
                <w:rFonts w:hint="eastAsia" w:ascii="仿宋_GB2312" w:hAnsi="仿宋_GB2312" w:eastAsia="仿宋_GB2312" w:cs="仿宋_GB2312"/>
                <w:sz w:val="30"/>
                <w:szCs w:val="30"/>
                <w:lang w:eastAsia="zh"/>
              </w:rPr>
            </w:pPr>
            <w:r>
              <w:rPr>
                <w:rFonts w:hint="eastAsia" w:ascii="仿宋_GB2312" w:hAnsi="仿宋_GB2312" w:eastAsia="仿宋_GB2312" w:cs="仿宋_GB2312"/>
                <w:sz w:val="30"/>
                <w:szCs w:val="30"/>
              </w:rPr>
              <w:t>4.用户可浏览服务项目详情，填写服务申请（包括服务对象、服务地址、期望上门时间、服务申请信息），具备上传就医证明文件功能，具备《关于个人医疗健康隐私信息处理说明》，具备价格说明及知情告知书、项目风险告知书、耗材及药品自备风险告知书、关于服务过程隐私信息处理说明等相关内容，支付完成，具备消息通知功能。</w:t>
            </w:r>
          </w:p>
          <w:p w14:paraId="610775B7">
            <w:pPr>
              <w:pStyle w:val="19"/>
              <w:keepNext w:val="0"/>
              <w:keepLines w:val="0"/>
              <w:pageBreakBefore w:val="0"/>
              <w:widowControl w:val="0"/>
              <w:kinsoku/>
              <w:wordWrap/>
              <w:overflowPunct/>
              <w:topLinePunct w:val="0"/>
              <w:autoSpaceDE/>
              <w:autoSpaceDN/>
              <w:bidi w:val="0"/>
              <w:spacing w:line="40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5.用户可以查看订单详情、待支付订单、待服务订单、待评价订单等内容。</w:t>
            </w:r>
          </w:p>
          <w:p w14:paraId="402B9065">
            <w:pPr>
              <w:pStyle w:val="19"/>
              <w:keepNext w:val="0"/>
              <w:keepLines w:val="0"/>
              <w:pageBreakBefore w:val="0"/>
              <w:widowControl w:val="0"/>
              <w:kinsoku/>
              <w:wordWrap/>
              <w:overflowPunct/>
              <w:topLinePunct w:val="0"/>
              <w:autoSpaceDE/>
              <w:autoSpaceDN/>
              <w:bidi w:val="0"/>
              <w:spacing w:line="40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6.用户可以管理服务对象、服务地址、查看关注的护士（用户可以在服务详情页和护士主页点关注和取消关注）、查看平台协议、获取客服与帮助、进行退款/售后、账号注销。</w:t>
            </w:r>
          </w:p>
          <w:p w14:paraId="0E67F21C">
            <w:pPr>
              <w:pStyle w:val="19"/>
              <w:keepNext w:val="0"/>
              <w:keepLines w:val="0"/>
              <w:pageBreakBefore w:val="0"/>
              <w:widowControl w:val="0"/>
              <w:kinsoku/>
              <w:wordWrap/>
              <w:overflowPunct/>
              <w:topLinePunct w:val="0"/>
              <w:autoSpaceDE/>
              <w:autoSpaceDN/>
              <w:bidi w:val="0"/>
              <w:spacing w:line="40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7.护士实名认证。</w:t>
            </w:r>
          </w:p>
          <w:p w14:paraId="45F5057C">
            <w:pPr>
              <w:pStyle w:val="19"/>
              <w:keepNext w:val="0"/>
              <w:keepLines w:val="0"/>
              <w:pageBreakBefore w:val="0"/>
              <w:widowControl w:val="0"/>
              <w:kinsoku/>
              <w:wordWrap/>
              <w:overflowPunct/>
              <w:topLinePunct w:val="0"/>
              <w:autoSpaceDE/>
              <w:autoSpaceDN/>
              <w:bidi w:val="0"/>
              <w:spacing w:line="40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8.具备护士主管具备派单功能、护士主管可以对工单进行修改地址及预约时间进行改派、护士主管可以审批项目变更或院区变更等功能。</w:t>
            </w:r>
          </w:p>
          <w:p w14:paraId="68E177FD">
            <w:pPr>
              <w:pStyle w:val="19"/>
              <w:keepNext w:val="0"/>
              <w:keepLines w:val="0"/>
              <w:pageBreakBefore w:val="0"/>
              <w:widowControl w:val="0"/>
              <w:kinsoku/>
              <w:wordWrap/>
              <w:overflowPunct/>
              <w:topLinePunct w:val="0"/>
              <w:autoSpaceDE/>
              <w:autoSpaceDN/>
              <w:bidi w:val="0"/>
              <w:spacing w:line="40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9.护士可以抢单或接单、查看服务单详情、出门时点击出门记录位置信息并为护士购买保险并开始生效、到达患者处可点击服务开始记录位置并开始全程录音、服务完成后填写服务记录、医废投放拍照定位记录。</w:t>
            </w:r>
          </w:p>
          <w:p w14:paraId="6901734D">
            <w:pPr>
              <w:pStyle w:val="19"/>
              <w:keepNext w:val="0"/>
              <w:keepLines w:val="0"/>
              <w:pageBreakBefore w:val="0"/>
              <w:widowControl w:val="0"/>
              <w:kinsoku/>
              <w:wordWrap/>
              <w:overflowPunct/>
              <w:topLinePunct w:val="0"/>
              <w:autoSpaceDE/>
              <w:autoSpaceDN/>
              <w:bidi w:val="0"/>
              <w:spacing w:line="40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10.护士可查看当前或历史咨询项目、护士可查看保单、护士可编辑自己服务项目、护士可以进行耗材请领、护士可以查看自己服务收入、护士可以在弱网时手动上传服务录音、护士可以自主更新维护个人信息、护士可以查看平台协议、具备意见反馈功能。</w:t>
            </w:r>
          </w:p>
          <w:p w14:paraId="0DBB5C42">
            <w:pPr>
              <w:pStyle w:val="19"/>
              <w:keepNext w:val="0"/>
              <w:keepLines w:val="0"/>
              <w:pageBreakBefore w:val="0"/>
              <w:widowControl w:val="0"/>
              <w:kinsoku/>
              <w:wordWrap/>
              <w:overflowPunct/>
              <w:topLinePunct w:val="0"/>
              <w:autoSpaceDE/>
              <w:autoSpaceDN/>
              <w:bidi w:val="0"/>
              <w:spacing w:line="40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11.运营管理端具备查看机构信息功能；具备服务区域配置功能；具备知情告知书配置功能；具备各项费用的名称、员工结算比例、计费规则以及退款规则配置功能。</w:t>
            </w:r>
          </w:p>
          <w:p w14:paraId="030AF27C">
            <w:pPr>
              <w:pStyle w:val="19"/>
              <w:keepNext w:val="0"/>
              <w:keepLines w:val="0"/>
              <w:pageBreakBefore w:val="0"/>
              <w:widowControl w:val="0"/>
              <w:kinsoku/>
              <w:wordWrap/>
              <w:overflowPunct/>
              <w:topLinePunct w:val="0"/>
              <w:autoSpaceDE/>
              <w:autoSpaceDN/>
              <w:bidi w:val="0"/>
              <w:spacing w:line="40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12.具备员工基本信息维护、服务项目及范围设置、护士实名认证功能。</w:t>
            </w:r>
          </w:p>
          <w:p w14:paraId="0C466516">
            <w:pPr>
              <w:pStyle w:val="19"/>
              <w:keepNext w:val="0"/>
              <w:keepLines w:val="0"/>
              <w:pageBreakBefore w:val="0"/>
              <w:widowControl w:val="0"/>
              <w:kinsoku/>
              <w:wordWrap/>
              <w:overflowPunct/>
              <w:topLinePunct w:val="0"/>
              <w:autoSpaceDE/>
              <w:autoSpaceDN/>
              <w:bidi w:val="0"/>
              <w:spacing w:line="40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13.具备查看工单全流程服务记录、服务变更操作功能；具备退费管理功能；具备配置评估量表及查询功能。</w:t>
            </w:r>
          </w:p>
          <w:p w14:paraId="4AE48761">
            <w:pPr>
              <w:pStyle w:val="19"/>
              <w:keepNext w:val="0"/>
              <w:keepLines w:val="0"/>
              <w:pageBreakBefore w:val="0"/>
              <w:widowControl w:val="0"/>
              <w:kinsoku/>
              <w:wordWrap/>
              <w:overflowPunct/>
              <w:topLinePunct w:val="0"/>
              <w:autoSpaceDE/>
              <w:autoSpaceDN/>
              <w:bidi w:val="0"/>
              <w:spacing w:line="40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14.具备物资管理功能记录出入库及物资请领功能；具备按自然月计算护士劳务薪酬的相关功能。</w:t>
            </w:r>
          </w:p>
          <w:p w14:paraId="20069BC1">
            <w:pPr>
              <w:pStyle w:val="19"/>
              <w:keepNext w:val="0"/>
              <w:keepLines w:val="0"/>
              <w:pageBreakBefore w:val="0"/>
              <w:widowControl w:val="0"/>
              <w:kinsoku/>
              <w:wordWrap/>
              <w:overflowPunct/>
              <w:topLinePunct w:val="0"/>
              <w:autoSpaceDE/>
              <w:autoSpaceDN/>
              <w:bidi w:val="0"/>
              <w:spacing w:line="40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15.可查看护患双方的评价信息；可查看护士对患者回访记录，运营人员对患者回访记录。</w:t>
            </w:r>
          </w:p>
        </w:tc>
        <w:tc>
          <w:tcPr>
            <w:tcW w:w="737" w:type="dxa"/>
            <w:noWrap/>
            <w:vAlign w:val="center"/>
          </w:tcPr>
          <w:p w14:paraId="51DF3D36">
            <w:pPr>
              <w:pStyle w:val="19"/>
              <w:spacing w:line="360" w:lineRule="auto"/>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30</w:t>
            </w:r>
          </w:p>
        </w:tc>
      </w:tr>
      <w:tr w14:paraId="1F6AA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9" w:type="dxa"/>
            <w:vMerge w:val="restart"/>
            <w:noWrap/>
            <w:vAlign w:val="center"/>
          </w:tcPr>
          <w:p w14:paraId="55F60314">
            <w:pPr>
              <w:pStyle w:val="19"/>
              <w:spacing w:line="360" w:lineRule="auto"/>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技术方案部分</w:t>
            </w:r>
          </w:p>
          <w:p w14:paraId="24459F3F">
            <w:pPr>
              <w:pStyle w:val="19"/>
              <w:spacing w:line="360" w:lineRule="auto"/>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w:t>
            </w:r>
            <w:r>
              <w:rPr>
                <w:rFonts w:hint="eastAsia" w:ascii="仿宋_GB2312" w:hAnsi="仿宋_GB2312" w:eastAsia="仿宋_GB2312" w:cs="仿宋_GB2312"/>
                <w:sz w:val="30"/>
                <w:szCs w:val="30"/>
                <w:lang w:eastAsia="zh"/>
              </w:rPr>
              <w:t>5</w:t>
            </w:r>
            <w:r>
              <w:rPr>
                <w:rFonts w:hint="eastAsia" w:ascii="仿宋_GB2312" w:hAnsi="仿宋_GB2312" w:eastAsia="仿宋_GB2312" w:cs="仿宋_GB2312"/>
                <w:sz w:val="30"/>
                <w:szCs w:val="30"/>
              </w:rPr>
              <w:t>分）</w:t>
            </w:r>
          </w:p>
        </w:tc>
        <w:tc>
          <w:tcPr>
            <w:tcW w:w="1111" w:type="dxa"/>
            <w:noWrap/>
            <w:vAlign w:val="center"/>
          </w:tcPr>
          <w:p w14:paraId="07691B15">
            <w:pPr>
              <w:pStyle w:val="19"/>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需求理解</w:t>
            </w:r>
          </w:p>
        </w:tc>
        <w:tc>
          <w:tcPr>
            <w:tcW w:w="5579" w:type="dxa"/>
            <w:vAlign w:val="center"/>
          </w:tcPr>
          <w:p w14:paraId="70FF07E0">
            <w:pPr>
              <w:pStyle w:val="19"/>
              <w:keepNext w:val="0"/>
              <w:keepLines w:val="0"/>
              <w:pageBreakBefore w:val="0"/>
              <w:widowControl w:val="0"/>
              <w:kinsoku/>
              <w:wordWrap/>
              <w:overflowPunct/>
              <w:topLinePunct w:val="0"/>
              <w:autoSpaceDE/>
              <w:autoSpaceDN/>
              <w:bidi w:val="0"/>
              <w:spacing w:line="40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对本项目采购需求关键点和难点的把握和理解，以及详细的项目实施管理方案。</w:t>
            </w:r>
          </w:p>
          <w:p w14:paraId="24BCA44B">
            <w:pPr>
              <w:pStyle w:val="19"/>
              <w:keepNext w:val="0"/>
              <w:keepLines w:val="0"/>
              <w:pageBreakBefore w:val="0"/>
              <w:widowControl w:val="0"/>
              <w:kinsoku/>
              <w:wordWrap/>
              <w:overflowPunct/>
              <w:topLinePunct w:val="0"/>
              <w:autoSpaceDE/>
              <w:autoSpaceDN/>
              <w:bidi w:val="0"/>
              <w:spacing w:line="400" w:lineRule="exact"/>
              <w:textAlignment w:val="auto"/>
              <w:rPr>
                <w:rFonts w:hint="eastAsia" w:ascii="仿宋_GB2312" w:hAnsi="仿宋_GB2312" w:eastAsia="仿宋_GB2312" w:cs="仿宋_GB2312"/>
                <w:sz w:val="30"/>
                <w:szCs w:val="30"/>
                <w:lang w:eastAsia="zh"/>
              </w:rPr>
            </w:pPr>
            <w:r>
              <w:rPr>
                <w:rFonts w:hint="eastAsia" w:ascii="仿宋_GB2312" w:hAnsi="仿宋_GB2312" w:eastAsia="仿宋_GB2312" w:cs="仿宋_GB2312"/>
                <w:sz w:val="30"/>
                <w:szCs w:val="30"/>
                <w:lang w:eastAsia="zh"/>
              </w:rPr>
              <w:t>（1）投标人全面掌握本项目采购核心需求、实施重点难点及潜在风险。项目实施管理方案体系完整、贴合项目实际，针对性强，落地性强，可保证项目高质量完成的，得6分；</w:t>
            </w:r>
          </w:p>
          <w:p w14:paraId="05B43A58">
            <w:pPr>
              <w:pStyle w:val="19"/>
              <w:keepNext w:val="0"/>
              <w:keepLines w:val="0"/>
              <w:pageBreakBefore w:val="0"/>
              <w:widowControl w:val="0"/>
              <w:kinsoku/>
              <w:wordWrap/>
              <w:overflowPunct/>
              <w:topLinePunct w:val="0"/>
              <w:autoSpaceDE/>
              <w:autoSpaceDN/>
              <w:bidi w:val="0"/>
              <w:spacing w:line="400" w:lineRule="exact"/>
              <w:textAlignment w:val="auto"/>
              <w:rPr>
                <w:rFonts w:hint="eastAsia" w:ascii="仿宋_GB2312" w:hAnsi="仿宋_GB2312" w:eastAsia="仿宋_GB2312" w:cs="仿宋_GB2312"/>
                <w:sz w:val="30"/>
                <w:szCs w:val="30"/>
                <w:lang w:eastAsia="zh"/>
              </w:rPr>
            </w:pPr>
            <w:r>
              <w:rPr>
                <w:rFonts w:hint="eastAsia" w:ascii="仿宋_GB2312" w:hAnsi="仿宋_GB2312" w:eastAsia="仿宋_GB2312" w:cs="仿宋_GB2312"/>
                <w:sz w:val="30"/>
                <w:szCs w:val="30"/>
                <w:lang w:eastAsia="zh"/>
              </w:rPr>
              <w:t>（2）投标人准确把握本项目采购要求需求及实施重点、难点。项目实施管理方案全面、架构规范、符合项目采购要求，但针对性不足，基本能够保障项目有序推进实施的，得4分；</w:t>
            </w:r>
          </w:p>
          <w:p w14:paraId="70393C7F">
            <w:pPr>
              <w:pStyle w:val="19"/>
              <w:keepNext w:val="0"/>
              <w:keepLines w:val="0"/>
              <w:pageBreakBefore w:val="0"/>
              <w:widowControl w:val="0"/>
              <w:kinsoku/>
              <w:wordWrap/>
              <w:overflowPunct/>
              <w:topLinePunct w:val="0"/>
              <w:autoSpaceDE/>
              <w:autoSpaceDN/>
              <w:bidi w:val="0"/>
              <w:spacing w:line="400" w:lineRule="exact"/>
              <w:textAlignment w:val="auto"/>
              <w:rPr>
                <w:rFonts w:hint="eastAsia" w:ascii="仿宋_GB2312" w:hAnsi="仿宋_GB2312" w:eastAsia="仿宋_GB2312" w:cs="仿宋_GB2312"/>
                <w:sz w:val="30"/>
                <w:szCs w:val="30"/>
                <w:lang w:eastAsia="zh"/>
              </w:rPr>
            </w:pPr>
            <w:r>
              <w:rPr>
                <w:rFonts w:hint="eastAsia" w:ascii="仿宋_GB2312" w:hAnsi="仿宋_GB2312" w:eastAsia="仿宋_GB2312" w:cs="仿宋_GB2312"/>
                <w:sz w:val="30"/>
                <w:szCs w:val="30"/>
                <w:lang w:eastAsia="zh"/>
              </w:rPr>
              <w:t>（3）投标人对项目采购需求及实施重点、难点认知浅显、把握不足。项目实施管理方案内容针对性缺失，落地性若，难以保障项目推进实施的，得2分；</w:t>
            </w:r>
          </w:p>
          <w:p w14:paraId="3A112F6B">
            <w:pPr>
              <w:pStyle w:val="19"/>
              <w:keepNext w:val="0"/>
              <w:keepLines w:val="0"/>
              <w:pageBreakBefore w:val="0"/>
              <w:widowControl w:val="0"/>
              <w:kinsoku/>
              <w:wordWrap/>
              <w:overflowPunct/>
              <w:topLinePunct w:val="0"/>
              <w:autoSpaceDE/>
              <w:autoSpaceDN/>
              <w:bidi w:val="0"/>
              <w:spacing w:line="400" w:lineRule="exact"/>
              <w:textAlignment w:val="auto"/>
              <w:rPr>
                <w:rFonts w:hint="eastAsia" w:ascii="仿宋_GB2312" w:hAnsi="仿宋_GB2312" w:eastAsia="仿宋_GB2312" w:cs="仿宋_GB2312"/>
                <w:sz w:val="30"/>
                <w:szCs w:val="30"/>
                <w:lang w:eastAsia="zh"/>
              </w:rPr>
            </w:pPr>
            <w:r>
              <w:rPr>
                <w:rFonts w:hint="eastAsia" w:ascii="仿宋_GB2312" w:hAnsi="仿宋_GB2312" w:eastAsia="仿宋_GB2312" w:cs="仿宋_GB2312"/>
                <w:sz w:val="30"/>
                <w:szCs w:val="30"/>
                <w:lang w:eastAsia="zh"/>
              </w:rPr>
              <w:t>（4）投标人未提供需求理解方案的，得0分。</w:t>
            </w:r>
          </w:p>
        </w:tc>
        <w:tc>
          <w:tcPr>
            <w:tcW w:w="737" w:type="dxa"/>
            <w:noWrap/>
            <w:vAlign w:val="center"/>
          </w:tcPr>
          <w:p w14:paraId="5ECCE77F">
            <w:pPr>
              <w:pStyle w:val="19"/>
              <w:spacing w:line="360" w:lineRule="auto"/>
              <w:jc w:val="center"/>
              <w:rPr>
                <w:rFonts w:hint="eastAsia" w:ascii="仿宋_GB2312" w:hAnsi="仿宋_GB2312" w:eastAsia="仿宋_GB2312" w:cs="仿宋_GB2312"/>
                <w:sz w:val="30"/>
                <w:szCs w:val="30"/>
                <w:lang w:eastAsia="zh"/>
              </w:rPr>
            </w:pPr>
            <w:r>
              <w:rPr>
                <w:rFonts w:hint="eastAsia" w:ascii="仿宋_GB2312" w:hAnsi="仿宋_GB2312" w:eastAsia="仿宋_GB2312" w:cs="仿宋_GB2312"/>
                <w:sz w:val="30"/>
                <w:szCs w:val="30"/>
                <w:lang w:eastAsia="zh"/>
              </w:rPr>
              <w:t>6</w:t>
            </w:r>
          </w:p>
        </w:tc>
      </w:tr>
      <w:tr w14:paraId="6F455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9" w:type="dxa"/>
            <w:vMerge w:val="continue"/>
            <w:vAlign w:val="center"/>
          </w:tcPr>
          <w:p w14:paraId="7AAE3A8F">
            <w:pPr>
              <w:pStyle w:val="19"/>
              <w:spacing w:line="360" w:lineRule="auto"/>
              <w:jc w:val="left"/>
              <w:rPr>
                <w:rFonts w:hint="eastAsia" w:ascii="仿宋_GB2312" w:hAnsi="仿宋_GB2312" w:eastAsia="仿宋_GB2312" w:cs="仿宋_GB2312"/>
                <w:sz w:val="30"/>
                <w:szCs w:val="30"/>
              </w:rPr>
            </w:pPr>
          </w:p>
        </w:tc>
        <w:tc>
          <w:tcPr>
            <w:tcW w:w="1111" w:type="dxa"/>
            <w:noWrap/>
            <w:vAlign w:val="center"/>
          </w:tcPr>
          <w:p w14:paraId="09AB8268">
            <w:pPr>
              <w:pStyle w:val="19"/>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质量保证措施方案</w:t>
            </w:r>
          </w:p>
        </w:tc>
        <w:tc>
          <w:tcPr>
            <w:tcW w:w="5579" w:type="dxa"/>
            <w:vAlign w:val="center"/>
          </w:tcPr>
          <w:p w14:paraId="0A23EC6E">
            <w:pPr>
              <w:pStyle w:val="19"/>
              <w:keepNext w:val="0"/>
              <w:keepLines w:val="0"/>
              <w:pageBreakBefore w:val="0"/>
              <w:widowControl w:val="0"/>
              <w:kinsoku/>
              <w:wordWrap/>
              <w:overflowPunct/>
              <w:topLinePunct w:val="0"/>
              <w:autoSpaceDE/>
              <w:autoSpaceDN/>
              <w:bidi w:val="0"/>
              <w:spacing w:line="40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质量保证措施：具备合理且完整的质量保证措施。</w:t>
            </w:r>
          </w:p>
          <w:p w14:paraId="24268017">
            <w:pPr>
              <w:pStyle w:val="19"/>
              <w:keepNext w:val="0"/>
              <w:keepLines w:val="0"/>
              <w:pageBreakBefore w:val="0"/>
              <w:widowControl w:val="0"/>
              <w:numPr>
                <w:ilvl w:val="0"/>
                <w:numId w:val="2"/>
              </w:numPr>
              <w:kinsoku/>
              <w:wordWrap/>
              <w:overflowPunct/>
              <w:topLinePunct w:val="0"/>
              <w:autoSpaceDE/>
              <w:autoSpaceDN/>
              <w:bidi w:val="0"/>
              <w:spacing w:line="400" w:lineRule="exact"/>
              <w:textAlignment w:val="auto"/>
              <w:rPr>
                <w:rFonts w:hint="eastAsia" w:ascii="仿宋_GB2312" w:hAnsi="仿宋_GB2312" w:eastAsia="仿宋_GB2312" w:cs="仿宋_GB2312"/>
                <w:sz w:val="30"/>
                <w:szCs w:val="30"/>
                <w:lang w:eastAsia="zh"/>
              </w:rPr>
            </w:pPr>
            <w:r>
              <w:rPr>
                <w:rFonts w:hint="eastAsia" w:ascii="仿宋_GB2312" w:hAnsi="仿宋_GB2312" w:eastAsia="仿宋_GB2312" w:cs="仿宋_GB2312"/>
                <w:sz w:val="30"/>
                <w:szCs w:val="30"/>
                <w:lang w:eastAsia="zh"/>
              </w:rPr>
              <w:t>投标人提供的质量保证措施方案体系完整、科学规范、内容详实、完全贴合本项目实际特点，可以有效保障本项目整体质量达标、稳定可控的，得6分；</w:t>
            </w:r>
          </w:p>
          <w:p w14:paraId="1CFFD6FC">
            <w:pPr>
              <w:pStyle w:val="19"/>
              <w:keepNext w:val="0"/>
              <w:keepLines w:val="0"/>
              <w:pageBreakBefore w:val="0"/>
              <w:widowControl w:val="0"/>
              <w:numPr>
                <w:ilvl w:val="0"/>
                <w:numId w:val="2"/>
              </w:numPr>
              <w:kinsoku/>
              <w:wordWrap/>
              <w:overflowPunct/>
              <w:topLinePunct w:val="0"/>
              <w:autoSpaceDE/>
              <w:autoSpaceDN/>
              <w:bidi w:val="0"/>
              <w:spacing w:line="400" w:lineRule="exact"/>
              <w:textAlignment w:val="auto"/>
              <w:rPr>
                <w:rFonts w:hint="eastAsia" w:ascii="仿宋_GB2312" w:hAnsi="仿宋_GB2312" w:eastAsia="仿宋_GB2312" w:cs="仿宋_GB2312"/>
                <w:sz w:val="30"/>
                <w:szCs w:val="30"/>
                <w:lang w:eastAsia="zh"/>
              </w:rPr>
            </w:pPr>
            <w:r>
              <w:rPr>
                <w:rFonts w:hint="eastAsia" w:ascii="仿宋_GB2312" w:hAnsi="仿宋_GB2312" w:eastAsia="仿宋_GB2312" w:cs="仿宋_GB2312"/>
                <w:sz w:val="30"/>
                <w:szCs w:val="30"/>
                <w:lang w:eastAsia="zh"/>
              </w:rPr>
              <w:t>投标人提供的质量保障措施方案内容完整、合规科学，但项目针对性不强，细节细化程度不足的，得4分；</w:t>
            </w:r>
          </w:p>
          <w:p w14:paraId="25F85B02">
            <w:pPr>
              <w:pStyle w:val="19"/>
              <w:keepNext w:val="0"/>
              <w:keepLines w:val="0"/>
              <w:pageBreakBefore w:val="0"/>
              <w:widowControl w:val="0"/>
              <w:numPr>
                <w:ilvl w:val="0"/>
                <w:numId w:val="2"/>
              </w:numPr>
              <w:kinsoku/>
              <w:wordWrap/>
              <w:overflowPunct/>
              <w:topLinePunct w:val="0"/>
              <w:autoSpaceDE/>
              <w:autoSpaceDN/>
              <w:bidi w:val="0"/>
              <w:spacing w:line="400" w:lineRule="exact"/>
              <w:textAlignment w:val="auto"/>
              <w:rPr>
                <w:rFonts w:hint="eastAsia" w:ascii="仿宋_GB2312" w:hAnsi="仿宋_GB2312" w:eastAsia="仿宋_GB2312" w:cs="仿宋_GB2312"/>
                <w:sz w:val="30"/>
                <w:szCs w:val="30"/>
                <w:lang w:eastAsia="zh"/>
              </w:rPr>
            </w:pPr>
            <w:r>
              <w:rPr>
                <w:rFonts w:hint="eastAsia" w:ascii="仿宋_GB2312" w:hAnsi="仿宋_GB2312" w:eastAsia="仿宋_GB2312" w:cs="仿宋_GB2312"/>
                <w:sz w:val="30"/>
                <w:szCs w:val="30"/>
                <w:lang w:eastAsia="zh"/>
              </w:rPr>
              <w:t>投标人提供的质量保障措施方案内容简单、体系不完善、落地性弱，不能够保障项目实施质量的，得2分；</w:t>
            </w:r>
          </w:p>
          <w:p w14:paraId="28B57CFD">
            <w:pPr>
              <w:pStyle w:val="19"/>
              <w:keepNext w:val="0"/>
              <w:keepLines w:val="0"/>
              <w:pageBreakBefore w:val="0"/>
              <w:widowControl w:val="0"/>
              <w:numPr>
                <w:ilvl w:val="0"/>
                <w:numId w:val="2"/>
              </w:numPr>
              <w:kinsoku/>
              <w:wordWrap/>
              <w:overflowPunct/>
              <w:topLinePunct w:val="0"/>
              <w:autoSpaceDE/>
              <w:autoSpaceDN/>
              <w:bidi w:val="0"/>
              <w:spacing w:line="400" w:lineRule="exact"/>
              <w:textAlignment w:val="auto"/>
              <w:rPr>
                <w:rFonts w:hint="eastAsia" w:ascii="仿宋_GB2312" w:hAnsi="仿宋_GB2312" w:eastAsia="仿宋_GB2312" w:cs="仿宋_GB2312"/>
                <w:sz w:val="30"/>
                <w:szCs w:val="30"/>
                <w:lang w:eastAsia="zh"/>
              </w:rPr>
            </w:pPr>
            <w:r>
              <w:rPr>
                <w:rFonts w:hint="eastAsia" w:ascii="仿宋_GB2312" w:hAnsi="仿宋_GB2312" w:eastAsia="仿宋_GB2312" w:cs="仿宋_GB2312"/>
                <w:sz w:val="30"/>
                <w:szCs w:val="30"/>
                <w:lang w:eastAsia="zh"/>
              </w:rPr>
              <w:t>投标人未提供质量保障措施方案的，的0分。</w:t>
            </w:r>
          </w:p>
        </w:tc>
        <w:tc>
          <w:tcPr>
            <w:tcW w:w="737" w:type="dxa"/>
            <w:noWrap/>
            <w:vAlign w:val="center"/>
          </w:tcPr>
          <w:p w14:paraId="3B15FF25">
            <w:pPr>
              <w:pStyle w:val="19"/>
              <w:spacing w:line="360" w:lineRule="auto"/>
              <w:jc w:val="center"/>
              <w:rPr>
                <w:rFonts w:hint="eastAsia" w:ascii="仿宋_GB2312" w:hAnsi="仿宋_GB2312" w:eastAsia="仿宋_GB2312" w:cs="仿宋_GB2312"/>
                <w:sz w:val="30"/>
                <w:szCs w:val="30"/>
                <w:lang w:eastAsia="zh"/>
              </w:rPr>
            </w:pPr>
            <w:r>
              <w:rPr>
                <w:rFonts w:hint="eastAsia" w:ascii="仿宋_GB2312" w:hAnsi="仿宋_GB2312" w:eastAsia="仿宋_GB2312" w:cs="仿宋_GB2312"/>
                <w:sz w:val="30"/>
                <w:szCs w:val="30"/>
                <w:lang w:eastAsia="zh"/>
              </w:rPr>
              <w:t>6</w:t>
            </w:r>
          </w:p>
        </w:tc>
      </w:tr>
      <w:tr w14:paraId="78EAB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9" w:type="dxa"/>
            <w:vMerge w:val="continue"/>
            <w:vAlign w:val="center"/>
          </w:tcPr>
          <w:p w14:paraId="55DAB02D">
            <w:pPr>
              <w:pStyle w:val="19"/>
              <w:spacing w:line="360" w:lineRule="auto"/>
              <w:jc w:val="left"/>
              <w:rPr>
                <w:rFonts w:hint="eastAsia" w:ascii="仿宋_GB2312" w:hAnsi="仿宋_GB2312" w:eastAsia="仿宋_GB2312" w:cs="仿宋_GB2312"/>
                <w:sz w:val="30"/>
                <w:szCs w:val="30"/>
              </w:rPr>
            </w:pPr>
          </w:p>
        </w:tc>
        <w:tc>
          <w:tcPr>
            <w:tcW w:w="1111" w:type="dxa"/>
            <w:noWrap/>
            <w:vAlign w:val="center"/>
          </w:tcPr>
          <w:p w14:paraId="3E0DE276">
            <w:pPr>
              <w:pStyle w:val="19"/>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运营团队配置</w:t>
            </w:r>
          </w:p>
        </w:tc>
        <w:tc>
          <w:tcPr>
            <w:tcW w:w="5579" w:type="dxa"/>
            <w:vAlign w:val="center"/>
          </w:tcPr>
          <w:p w14:paraId="584F3AE7">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运营团队：有本地运营团队且不少于5人，得5分；否则不得分。</w:t>
            </w:r>
          </w:p>
          <w:p w14:paraId="22F5FFCA">
            <w:pPr>
              <w:pStyle w:val="19"/>
              <w:keepNext w:val="0"/>
              <w:keepLines w:val="0"/>
              <w:pageBreakBefore w:val="0"/>
              <w:widowControl w:val="0"/>
              <w:kinsoku/>
              <w:wordWrap/>
              <w:overflowPunct/>
              <w:topLinePunct w:val="0"/>
              <w:autoSpaceDE/>
              <w:autoSpaceDN/>
              <w:bidi w:val="0"/>
              <w:spacing w:line="40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评审依据：提供承诺函及劳动合同（复印件加盖公章）。</w:t>
            </w:r>
          </w:p>
        </w:tc>
        <w:tc>
          <w:tcPr>
            <w:tcW w:w="737" w:type="dxa"/>
            <w:noWrap/>
            <w:vAlign w:val="center"/>
          </w:tcPr>
          <w:p w14:paraId="6E6680A8">
            <w:pPr>
              <w:pStyle w:val="19"/>
              <w:spacing w:line="360" w:lineRule="auto"/>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w:t>
            </w:r>
          </w:p>
        </w:tc>
      </w:tr>
      <w:tr w14:paraId="2E976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9" w:type="dxa"/>
            <w:vMerge w:val="continue"/>
            <w:vAlign w:val="center"/>
          </w:tcPr>
          <w:p w14:paraId="566779F7">
            <w:pPr>
              <w:pStyle w:val="19"/>
              <w:spacing w:line="360" w:lineRule="auto"/>
              <w:jc w:val="left"/>
              <w:rPr>
                <w:rFonts w:hint="eastAsia" w:ascii="仿宋_GB2312" w:hAnsi="仿宋_GB2312" w:eastAsia="仿宋_GB2312" w:cs="仿宋_GB2312"/>
                <w:sz w:val="30"/>
                <w:szCs w:val="30"/>
              </w:rPr>
            </w:pPr>
          </w:p>
        </w:tc>
        <w:tc>
          <w:tcPr>
            <w:tcW w:w="1111" w:type="dxa"/>
            <w:noWrap/>
            <w:vAlign w:val="center"/>
          </w:tcPr>
          <w:p w14:paraId="3ADFF8C9">
            <w:pPr>
              <w:pStyle w:val="19"/>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运营方案</w:t>
            </w:r>
          </w:p>
        </w:tc>
        <w:tc>
          <w:tcPr>
            <w:tcW w:w="5579" w:type="dxa"/>
            <w:vAlign w:val="center"/>
          </w:tcPr>
          <w:p w14:paraId="364DD07C">
            <w:pPr>
              <w:pStyle w:val="19"/>
              <w:keepNext w:val="0"/>
              <w:keepLines w:val="0"/>
              <w:pageBreakBefore w:val="0"/>
              <w:widowControl w:val="0"/>
              <w:kinsoku/>
              <w:wordWrap/>
              <w:overflowPunct/>
              <w:topLinePunct w:val="0"/>
              <w:autoSpaceDE/>
              <w:autoSpaceDN/>
              <w:bidi w:val="0"/>
              <w:spacing w:line="40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运营方案：是否具有完整的运营服务体系、完备的服务运营支持等情况。</w:t>
            </w:r>
          </w:p>
          <w:p w14:paraId="28C0BAC4">
            <w:pPr>
              <w:pStyle w:val="19"/>
              <w:keepNext w:val="0"/>
              <w:keepLines w:val="0"/>
              <w:pageBreakBefore w:val="0"/>
              <w:widowControl w:val="0"/>
              <w:kinsoku/>
              <w:wordWrap/>
              <w:overflowPunct/>
              <w:topLinePunct w:val="0"/>
              <w:autoSpaceDE/>
              <w:autoSpaceDN/>
              <w:bidi w:val="0"/>
              <w:spacing w:line="400" w:lineRule="exact"/>
              <w:textAlignment w:val="auto"/>
              <w:rPr>
                <w:rFonts w:hint="eastAsia" w:ascii="仿宋_GB2312" w:hAnsi="仿宋_GB2312" w:eastAsia="仿宋_GB2312" w:cs="仿宋_GB2312"/>
                <w:sz w:val="30"/>
                <w:szCs w:val="30"/>
                <w:lang w:eastAsia="zh"/>
              </w:rPr>
            </w:pPr>
            <w:r>
              <w:rPr>
                <w:rFonts w:hint="eastAsia" w:ascii="仿宋_GB2312" w:hAnsi="仿宋_GB2312" w:eastAsia="仿宋_GB2312" w:cs="仿宋_GB2312"/>
                <w:sz w:val="30"/>
                <w:szCs w:val="30"/>
                <w:lang w:eastAsia="zh"/>
              </w:rPr>
              <w:t>（1）投标人提供的运营方案科学合理，具备完整、成熟的运营服务体系，组织架构、服务流程、运营机制清晰完善，贴合项目实际，可保障项目稳定持续运营的，得6分；</w:t>
            </w:r>
          </w:p>
          <w:p w14:paraId="73E8D4AD">
            <w:pPr>
              <w:pStyle w:val="19"/>
              <w:keepNext w:val="0"/>
              <w:keepLines w:val="0"/>
              <w:pageBreakBefore w:val="0"/>
              <w:widowControl w:val="0"/>
              <w:numPr>
                <w:ilvl w:val="0"/>
                <w:numId w:val="3"/>
              </w:numPr>
              <w:kinsoku/>
              <w:wordWrap/>
              <w:overflowPunct/>
              <w:topLinePunct w:val="0"/>
              <w:autoSpaceDE/>
              <w:autoSpaceDN/>
              <w:bidi w:val="0"/>
              <w:spacing w:line="400" w:lineRule="exact"/>
              <w:textAlignment w:val="auto"/>
              <w:rPr>
                <w:rFonts w:hint="eastAsia" w:ascii="仿宋_GB2312" w:hAnsi="仿宋_GB2312" w:eastAsia="仿宋_GB2312" w:cs="仿宋_GB2312"/>
                <w:sz w:val="30"/>
                <w:szCs w:val="30"/>
                <w:lang w:eastAsia="zh"/>
              </w:rPr>
            </w:pPr>
            <w:r>
              <w:rPr>
                <w:rFonts w:hint="eastAsia" w:ascii="仿宋_GB2312" w:hAnsi="仿宋_GB2312" w:eastAsia="仿宋_GB2312" w:cs="仿宋_GB2312"/>
                <w:sz w:val="30"/>
                <w:szCs w:val="30"/>
                <w:lang w:eastAsia="zh"/>
              </w:rPr>
              <w:t>投标人提供的运营方案内容齐全，基本的运营服务和常规运营支持保障措施，但体系细化不足，针对性一般的，得4分；</w:t>
            </w:r>
          </w:p>
          <w:p w14:paraId="050E69F1">
            <w:pPr>
              <w:pStyle w:val="19"/>
              <w:keepNext w:val="0"/>
              <w:keepLines w:val="0"/>
              <w:pageBreakBefore w:val="0"/>
              <w:widowControl w:val="0"/>
              <w:numPr>
                <w:ilvl w:val="0"/>
                <w:numId w:val="3"/>
              </w:numPr>
              <w:kinsoku/>
              <w:wordWrap/>
              <w:overflowPunct/>
              <w:topLinePunct w:val="0"/>
              <w:autoSpaceDE/>
              <w:autoSpaceDN/>
              <w:bidi w:val="0"/>
              <w:spacing w:line="400" w:lineRule="exact"/>
              <w:textAlignment w:val="auto"/>
              <w:rPr>
                <w:rFonts w:hint="eastAsia" w:ascii="仿宋_GB2312" w:hAnsi="仿宋_GB2312" w:eastAsia="仿宋_GB2312" w:cs="仿宋_GB2312"/>
                <w:sz w:val="30"/>
                <w:szCs w:val="30"/>
                <w:lang w:eastAsia="zh"/>
              </w:rPr>
            </w:pPr>
            <w:r>
              <w:rPr>
                <w:rFonts w:hint="eastAsia" w:ascii="仿宋_GB2312" w:hAnsi="仿宋_GB2312" w:eastAsia="仿宋_GB2312" w:cs="仿宋_GB2312"/>
                <w:sz w:val="30"/>
                <w:szCs w:val="30"/>
                <w:lang w:eastAsia="zh"/>
              </w:rPr>
              <w:t>投标人提供的运营方案内容简单、体系不健全、运营措施不完善，且缺少针对性的，得2分；</w:t>
            </w:r>
          </w:p>
          <w:p w14:paraId="1C3118DB">
            <w:pPr>
              <w:pStyle w:val="19"/>
              <w:keepNext w:val="0"/>
              <w:keepLines w:val="0"/>
              <w:pageBreakBefore w:val="0"/>
              <w:widowControl w:val="0"/>
              <w:numPr>
                <w:ilvl w:val="0"/>
                <w:numId w:val="3"/>
              </w:numPr>
              <w:kinsoku/>
              <w:wordWrap/>
              <w:overflowPunct/>
              <w:topLinePunct w:val="0"/>
              <w:autoSpaceDE/>
              <w:autoSpaceDN/>
              <w:bidi w:val="0"/>
              <w:spacing w:line="400" w:lineRule="exact"/>
              <w:textAlignment w:val="auto"/>
              <w:rPr>
                <w:rFonts w:hint="eastAsia" w:ascii="仿宋_GB2312" w:hAnsi="仿宋_GB2312" w:eastAsia="仿宋_GB2312" w:cs="仿宋_GB2312"/>
                <w:sz w:val="30"/>
                <w:szCs w:val="30"/>
                <w:lang w:eastAsia="zh"/>
              </w:rPr>
            </w:pPr>
            <w:r>
              <w:rPr>
                <w:rFonts w:hint="eastAsia" w:ascii="仿宋_GB2312" w:hAnsi="仿宋_GB2312" w:eastAsia="仿宋_GB2312" w:cs="仿宋_GB2312"/>
                <w:sz w:val="30"/>
                <w:szCs w:val="30"/>
                <w:lang w:eastAsia="zh"/>
              </w:rPr>
              <w:t>投标人未提供运营运营方案的，得0分。</w:t>
            </w:r>
          </w:p>
        </w:tc>
        <w:tc>
          <w:tcPr>
            <w:tcW w:w="737" w:type="dxa"/>
            <w:noWrap/>
            <w:vAlign w:val="center"/>
          </w:tcPr>
          <w:p w14:paraId="5C6D36C4">
            <w:pPr>
              <w:pStyle w:val="19"/>
              <w:spacing w:line="360" w:lineRule="auto"/>
              <w:jc w:val="center"/>
              <w:rPr>
                <w:rFonts w:hint="eastAsia" w:ascii="仿宋_GB2312" w:hAnsi="仿宋_GB2312" w:eastAsia="仿宋_GB2312" w:cs="仿宋_GB2312"/>
                <w:sz w:val="30"/>
                <w:szCs w:val="30"/>
                <w:lang w:eastAsia="zh"/>
              </w:rPr>
            </w:pPr>
            <w:r>
              <w:rPr>
                <w:rFonts w:hint="eastAsia" w:ascii="仿宋_GB2312" w:hAnsi="仿宋_GB2312" w:eastAsia="仿宋_GB2312" w:cs="仿宋_GB2312"/>
                <w:sz w:val="30"/>
                <w:szCs w:val="30"/>
                <w:lang w:eastAsia="zh"/>
              </w:rPr>
              <w:t>6</w:t>
            </w:r>
          </w:p>
        </w:tc>
      </w:tr>
      <w:tr w14:paraId="738D8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9" w:type="dxa"/>
            <w:vMerge w:val="continue"/>
            <w:vAlign w:val="center"/>
          </w:tcPr>
          <w:p w14:paraId="775FE264">
            <w:pPr>
              <w:pStyle w:val="19"/>
              <w:spacing w:line="360" w:lineRule="auto"/>
              <w:jc w:val="left"/>
              <w:rPr>
                <w:rFonts w:hint="eastAsia" w:ascii="仿宋_GB2312" w:hAnsi="仿宋_GB2312" w:eastAsia="仿宋_GB2312" w:cs="仿宋_GB2312"/>
                <w:sz w:val="30"/>
                <w:szCs w:val="30"/>
              </w:rPr>
            </w:pPr>
          </w:p>
        </w:tc>
        <w:tc>
          <w:tcPr>
            <w:tcW w:w="1111" w:type="dxa"/>
            <w:noWrap/>
            <w:vAlign w:val="center"/>
          </w:tcPr>
          <w:p w14:paraId="6FCFA35C">
            <w:pPr>
              <w:pStyle w:val="19"/>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售后服务方案</w:t>
            </w:r>
          </w:p>
        </w:tc>
        <w:tc>
          <w:tcPr>
            <w:tcW w:w="5579" w:type="dxa"/>
            <w:vAlign w:val="center"/>
          </w:tcPr>
          <w:p w14:paraId="591B3F6B">
            <w:pPr>
              <w:pStyle w:val="19"/>
              <w:keepNext w:val="0"/>
              <w:keepLines w:val="0"/>
              <w:pageBreakBefore w:val="0"/>
              <w:widowControl w:val="0"/>
              <w:kinsoku/>
              <w:wordWrap/>
              <w:overflowPunct/>
              <w:topLinePunct w:val="0"/>
              <w:autoSpaceDE/>
              <w:autoSpaceDN/>
              <w:bidi w:val="0"/>
              <w:spacing w:line="40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售后服务方案：具有完整的售后服务体系、完备的服务支持。</w:t>
            </w:r>
          </w:p>
          <w:p w14:paraId="1933DFC3">
            <w:pPr>
              <w:pStyle w:val="19"/>
              <w:keepNext w:val="0"/>
              <w:keepLines w:val="0"/>
              <w:pageBreakBefore w:val="0"/>
              <w:widowControl w:val="0"/>
              <w:numPr>
                <w:ilvl w:val="0"/>
                <w:numId w:val="4"/>
              </w:numPr>
              <w:kinsoku/>
              <w:wordWrap/>
              <w:overflowPunct/>
              <w:topLinePunct w:val="0"/>
              <w:autoSpaceDE/>
              <w:autoSpaceDN/>
              <w:bidi w:val="0"/>
              <w:spacing w:line="400" w:lineRule="exact"/>
              <w:textAlignment w:val="auto"/>
              <w:rPr>
                <w:rFonts w:hint="eastAsia" w:ascii="仿宋_GB2312" w:hAnsi="仿宋_GB2312" w:eastAsia="仿宋_GB2312" w:cs="仿宋_GB2312"/>
                <w:sz w:val="30"/>
                <w:szCs w:val="30"/>
                <w:lang w:eastAsia="zh"/>
              </w:rPr>
            </w:pPr>
            <w:r>
              <w:rPr>
                <w:rFonts w:hint="eastAsia" w:ascii="仿宋_GB2312" w:hAnsi="仿宋_GB2312" w:eastAsia="仿宋_GB2312" w:cs="仿宋_GB2312"/>
                <w:sz w:val="30"/>
                <w:szCs w:val="30"/>
                <w:lang w:eastAsia="zh"/>
              </w:rPr>
              <w:t>投标人提供的售后服务方案完善且成熟，服务架构、响应机制、服务流程清晰完整，贴合项目实际需求，可操作性强的，能够保障项目持续运行的，得6分；</w:t>
            </w:r>
          </w:p>
          <w:p w14:paraId="0B216D86">
            <w:pPr>
              <w:pStyle w:val="19"/>
              <w:keepNext w:val="0"/>
              <w:keepLines w:val="0"/>
              <w:pageBreakBefore w:val="0"/>
              <w:widowControl w:val="0"/>
              <w:numPr>
                <w:ilvl w:val="0"/>
                <w:numId w:val="4"/>
              </w:numPr>
              <w:kinsoku/>
              <w:wordWrap/>
              <w:overflowPunct/>
              <w:topLinePunct w:val="0"/>
              <w:autoSpaceDE/>
              <w:autoSpaceDN/>
              <w:bidi w:val="0"/>
              <w:spacing w:line="400" w:lineRule="exact"/>
              <w:textAlignment w:val="auto"/>
              <w:rPr>
                <w:rFonts w:hint="eastAsia" w:ascii="仿宋_GB2312" w:hAnsi="仿宋_GB2312" w:eastAsia="仿宋_GB2312" w:cs="仿宋_GB2312"/>
                <w:sz w:val="30"/>
                <w:szCs w:val="30"/>
                <w:lang w:eastAsia="zh"/>
              </w:rPr>
            </w:pPr>
            <w:r>
              <w:rPr>
                <w:rFonts w:hint="eastAsia" w:ascii="仿宋_GB2312" w:hAnsi="仿宋_GB2312" w:eastAsia="仿宋_GB2312" w:cs="仿宋_GB2312"/>
                <w:sz w:val="30"/>
                <w:szCs w:val="30"/>
                <w:lang w:eastAsia="zh"/>
              </w:rPr>
              <w:t>投标人提供的售后服务方案内容齐全，但售后服务内容细化程度不足，针对性一般的，得4分；</w:t>
            </w:r>
          </w:p>
          <w:p w14:paraId="6B6A8132">
            <w:pPr>
              <w:pStyle w:val="19"/>
              <w:keepNext w:val="0"/>
              <w:keepLines w:val="0"/>
              <w:pageBreakBefore w:val="0"/>
              <w:widowControl w:val="0"/>
              <w:numPr>
                <w:ilvl w:val="0"/>
                <w:numId w:val="4"/>
              </w:numPr>
              <w:kinsoku/>
              <w:wordWrap/>
              <w:overflowPunct/>
              <w:topLinePunct w:val="0"/>
              <w:autoSpaceDE/>
              <w:autoSpaceDN/>
              <w:bidi w:val="0"/>
              <w:spacing w:line="400" w:lineRule="exact"/>
              <w:textAlignment w:val="auto"/>
              <w:rPr>
                <w:rFonts w:hint="eastAsia" w:ascii="仿宋_GB2312" w:hAnsi="仿宋_GB2312" w:eastAsia="仿宋_GB2312" w:cs="仿宋_GB2312"/>
                <w:sz w:val="30"/>
                <w:szCs w:val="30"/>
                <w:lang w:eastAsia="zh"/>
              </w:rPr>
            </w:pPr>
            <w:r>
              <w:rPr>
                <w:rFonts w:hint="eastAsia" w:ascii="仿宋_GB2312" w:hAnsi="仿宋_GB2312" w:eastAsia="仿宋_GB2312" w:cs="仿宋_GB2312"/>
                <w:sz w:val="30"/>
                <w:szCs w:val="30"/>
                <w:lang w:eastAsia="zh"/>
              </w:rPr>
              <w:t>投标人提供的售后服务方案内容简略，售后服务体系不完整，没有针对性的，得2分；</w:t>
            </w:r>
          </w:p>
          <w:p w14:paraId="1388FEE6">
            <w:pPr>
              <w:pStyle w:val="19"/>
              <w:keepNext w:val="0"/>
              <w:keepLines w:val="0"/>
              <w:pageBreakBefore w:val="0"/>
              <w:widowControl w:val="0"/>
              <w:numPr>
                <w:ilvl w:val="0"/>
                <w:numId w:val="4"/>
              </w:numPr>
              <w:kinsoku/>
              <w:wordWrap/>
              <w:overflowPunct/>
              <w:topLinePunct w:val="0"/>
              <w:autoSpaceDE/>
              <w:autoSpaceDN/>
              <w:bidi w:val="0"/>
              <w:spacing w:line="400" w:lineRule="exact"/>
              <w:textAlignment w:val="auto"/>
              <w:rPr>
                <w:rFonts w:hint="eastAsia" w:ascii="仿宋_GB2312" w:hAnsi="仿宋_GB2312" w:eastAsia="仿宋_GB2312" w:cs="仿宋_GB2312"/>
                <w:sz w:val="30"/>
                <w:szCs w:val="30"/>
                <w:lang w:eastAsia="zh"/>
              </w:rPr>
            </w:pPr>
            <w:r>
              <w:rPr>
                <w:rFonts w:hint="eastAsia" w:ascii="仿宋_GB2312" w:hAnsi="仿宋_GB2312" w:eastAsia="仿宋_GB2312" w:cs="仿宋_GB2312"/>
                <w:sz w:val="30"/>
                <w:szCs w:val="30"/>
                <w:lang w:eastAsia="zh"/>
              </w:rPr>
              <w:t>投标人未提供售后服务方案的，得0分。</w:t>
            </w:r>
          </w:p>
        </w:tc>
        <w:tc>
          <w:tcPr>
            <w:tcW w:w="737" w:type="dxa"/>
            <w:noWrap/>
            <w:vAlign w:val="center"/>
          </w:tcPr>
          <w:p w14:paraId="2FC8E982">
            <w:pPr>
              <w:pStyle w:val="19"/>
              <w:spacing w:line="360" w:lineRule="auto"/>
              <w:jc w:val="center"/>
              <w:rPr>
                <w:rFonts w:hint="eastAsia" w:ascii="仿宋_GB2312" w:hAnsi="仿宋_GB2312" w:eastAsia="仿宋_GB2312" w:cs="仿宋_GB2312"/>
                <w:sz w:val="30"/>
                <w:szCs w:val="30"/>
                <w:lang w:eastAsia="zh"/>
              </w:rPr>
            </w:pPr>
            <w:r>
              <w:rPr>
                <w:rFonts w:hint="eastAsia" w:ascii="仿宋_GB2312" w:hAnsi="仿宋_GB2312" w:eastAsia="仿宋_GB2312" w:cs="仿宋_GB2312"/>
                <w:sz w:val="30"/>
                <w:szCs w:val="30"/>
                <w:lang w:eastAsia="zh"/>
              </w:rPr>
              <w:t>6</w:t>
            </w:r>
          </w:p>
        </w:tc>
      </w:tr>
      <w:tr w14:paraId="12645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9" w:type="dxa"/>
            <w:vMerge w:val="continue"/>
            <w:noWrap/>
            <w:vAlign w:val="center"/>
          </w:tcPr>
          <w:p w14:paraId="65D72719">
            <w:pPr>
              <w:pStyle w:val="19"/>
              <w:spacing w:line="360" w:lineRule="auto"/>
              <w:jc w:val="left"/>
              <w:rPr>
                <w:rFonts w:hint="eastAsia" w:ascii="仿宋_GB2312" w:hAnsi="仿宋_GB2312" w:eastAsia="仿宋_GB2312" w:cs="仿宋_GB2312"/>
                <w:sz w:val="30"/>
                <w:szCs w:val="30"/>
              </w:rPr>
            </w:pPr>
          </w:p>
        </w:tc>
        <w:tc>
          <w:tcPr>
            <w:tcW w:w="1111" w:type="dxa"/>
            <w:noWrap/>
            <w:vAlign w:val="center"/>
          </w:tcPr>
          <w:p w14:paraId="63A9FD8F">
            <w:pPr>
              <w:pStyle w:val="19"/>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培训方案</w:t>
            </w:r>
          </w:p>
        </w:tc>
        <w:tc>
          <w:tcPr>
            <w:tcW w:w="5579" w:type="dxa"/>
            <w:vAlign w:val="center"/>
          </w:tcPr>
          <w:p w14:paraId="32E774DA">
            <w:pPr>
              <w:pStyle w:val="19"/>
              <w:keepNext w:val="0"/>
              <w:keepLines w:val="0"/>
              <w:pageBreakBefore w:val="0"/>
              <w:widowControl w:val="0"/>
              <w:kinsoku/>
              <w:wordWrap/>
              <w:overflowPunct/>
              <w:topLinePunct w:val="0"/>
              <w:autoSpaceDE/>
              <w:autoSpaceDN/>
              <w:bidi w:val="0"/>
              <w:spacing w:line="40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培训方案：包括培训计划、培训内容、培训时效性及预期培训结果等。</w:t>
            </w:r>
          </w:p>
          <w:p w14:paraId="099D3F8C">
            <w:pPr>
              <w:pStyle w:val="19"/>
              <w:keepNext w:val="0"/>
              <w:keepLines w:val="0"/>
              <w:pageBreakBefore w:val="0"/>
              <w:widowControl w:val="0"/>
              <w:kinsoku/>
              <w:wordWrap/>
              <w:overflowPunct/>
              <w:topLinePunct w:val="0"/>
              <w:autoSpaceDE/>
              <w:autoSpaceDN/>
              <w:bidi w:val="0"/>
              <w:spacing w:line="400" w:lineRule="exact"/>
              <w:textAlignment w:val="auto"/>
              <w:rPr>
                <w:rFonts w:hint="eastAsia" w:ascii="仿宋_GB2312" w:hAnsi="仿宋_GB2312" w:eastAsia="仿宋_GB2312" w:cs="仿宋_GB2312"/>
                <w:sz w:val="30"/>
                <w:szCs w:val="30"/>
                <w:lang w:eastAsia="zh"/>
              </w:rPr>
            </w:pPr>
            <w:r>
              <w:rPr>
                <w:rFonts w:hint="eastAsia" w:ascii="仿宋_GB2312" w:hAnsi="仿宋_GB2312" w:eastAsia="仿宋_GB2312" w:cs="仿宋_GB2312"/>
                <w:sz w:val="30"/>
                <w:szCs w:val="30"/>
                <w:lang w:eastAsia="zh"/>
              </w:rPr>
              <w:t>（1）投标人提供的培训方案培训计划内容完整、贴合项目实际，且培训组织能力符合项目需求，落地性强，培训课程有针对性的，得6分；</w:t>
            </w:r>
          </w:p>
          <w:p w14:paraId="06C75AA6">
            <w:pPr>
              <w:pStyle w:val="19"/>
              <w:keepNext w:val="0"/>
              <w:keepLines w:val="0"/>
              <w:pageBreakBefore w:val="0"/>
              <w:widowControl w:val="0"/>
              <w:kinsoku/>
              <w:wordWrap/>
              <w:overflowPunct/>
              <w:topLinePunct w:val="0"/>
              <w:autoSpaceDE/>
              <w:autoSpaceDN/>
              <w:bidi w:val="0"/>
              <w:spacing w:line="400" w:lineRule="exact"/>
              <w:textAlignment w:val="auto"/>
              <w:rPr>
                <w:rFonts w:hint="eastAsia" w:ascii="仿宋_GB2312" w:hAnsi="仿宋_GB2312" w:eastAsia="仿宋_GB2312" w:cs="仿宋_GB2312"/>
                <w:sz w:val="30"/>
                <w:szCs w:val="30"/>
                <w:lang w:eastAsia="zh"/>
              </w:rPr>
            </w:pPr>
            <w:r>
              <w:rPr>
                <w:rFonts w:hint="eastAsia" w:ascii="仿宋_GB2312" w:hAnsi="仿宋_GB2312" w:eastAsia="仿宋_GB2312" w:cs="仿宋_GB2312"/>
                <w:sz w:val="30"/>
                <w:szCs w:val="30"/>
                <w:lang w:eastAsia="zh"/>
              </w:rPr>
              <w:t>（2）投标人提供的培训方案培训计划、培训组织能力符合项目需求，但落地性、针对性不足的，得4分；</w:t>
            </w:r>
          </w:p>
          <w:p w14:paraId="7EEC0044">
            <w:pPr>
              <w:pStyle w:val="19"/>
              <w:keepNext w:val="0"/>
              <w:keepLines w:val="0"/>
              <w:pageBreakBefore w:val="0"/>
              <w:widowControl w:val="0"/>
              <w:kinsoku/>
              <w:wordWrap/>
              <w:overflowPunct/>
              <w:topLinePunct w:val="0"/>
              <w:autoSpaceDE/>
              <w:autoSpaceDN/>
              <w:bidi w:val="0"/>
              <w:spacing w:line="400" w:lineRule="exact"/>
              <w:textAlignment w:val="auto"/>
              <w:rPr>
                <w:rFonts w:hint="eastAsia" w:ascii="仿宋_GB2312" w:hAnsi="仿宋_GB2312" w:eastAsia="仿宋_GB2312" w:cs="仿宋_GB2312"/>
                <w:sz w:val="30"/>
                <w:szCs w:val="30"/>
                <w:lang w:eastAsia="zh"/>
              </w:rPr>
            </w:pPr>
            <w:r>
              <w:rPr>
                <w:rFonts w:hint="eastAsia" w:ascii="仿宋_GB2312" w:hAnsi="仿宋_GB2312" w:eastAsia="仿宋_GB2312" w:cs="仿宋_GB2312"/>
                <w:sz w:val="30"/>
                <w:szCs w:val="30"/>
                <w:lang w:eastAsia="zh"/>
              </w:rPr>
              <w:t>（3）投标人提供的培训方案培训计划、培训组织能力等核心内容缺失，缺乏有效的培训落地计划，难以支撑的，得2分；</w:t>
            </w:r>
          </w:p>
          <w:p w14:paraId="0229F4DE">
            <w:pPr>
              <w:pStyle w:val="19"/>
              <w:keepNext w:val="0"/>
              <w:keepLines w:val="0"/>
              <w:pageBreakBefore w:val="0"/>
              <w:widowControl w:val="0"/>
              <w:kinsoku/>
              <w:wordWrap/>
              <w:overflowPunct/>
              <w:topLinePunct w:val="0"/>
              <w:autoSpaceDE/>
              <w:autoSpaceDN/>
              <w:bidi w:val="0"/>
              <w:spacing w:line="400" w:lineRule="exact"/>
              <w:textAlignment w:val="auto"/>
              <w:rPr>
                <w:rFonts w:hint="eastAsia" w:ascii="仿宋_GB2312" w:hAnsi="仿宋_GB2312" w:eastAsia="仿宋_GB2312" w:cs="仿宋_GB2312"/>
                <w:sz w:val="30"/>
                <w:szCs w:val="30"/>
                <w:lang w:eastAsia="zh"/>
              </w:rPr>
            </w:pPr>
            <w:r>
              <w:rPr>
                <w:rFonts w:hint="eastAsia" w:ascii="仿宋_GB2312" w:hAnsi="仿宋_GB2312" w:eastAsia="仿宋_GB2312" w:cs="仿宋_GB2312"/>
                <w:sz w:val="30"/>
                <w:szCs w:val="30"/>
                <w:lang w:eastAsia="zh"/>
              </w:rPr>
              <w:t>（4）投标人未提供培训方案的，得0分。</w:t>
            </w:r>
          </w:p>
        </w:tc>
        <w:tc>
          <w:tcPr>
            <w:tcW w:w="737" w:type="dxa"/>
            <w:noWrap/>
            <w:vAlign w:val="center"/>
          </w:tcPr>
          <w:p w14:paraId="436CB8AE">
            <w:pPr>
              <w:pStyle w:val="19"/>
              <w:spacing w:line="360" w:lineRule="auto"/>
              <w:jc w:val="center"/>
              <w:rPr>
                <w:rFonts w:hint="eastAsia" w:ascii="仿宋_GB2312" w:hAnsi="仿宋_GB2312" w:eastAsia="仿宋_GB2312" w:cs="仿宋_GB2312"/>
                <w:sz w:val="30"/>
                <w:szCs w:val="30"/>
                <w:lang w:eastAsia="zh"/>
              </w:rPr>
            </w:pPr>
            <w:r>
              <w:rPr>
                <w:rFonts w:hint="eastAsia" w:ascii="仿宋_GB2312" w:hAnsi="仿宋_GB2312" w:eastAsia="仿宋_GB2312" w:cs="仿宋_GB2312"/>
                <w:sz w:val="30"/>
                <w:szCs w:val="30"/>
                <w:lang w:eastAsia="zh"/>
              </w:rPr>
              <w:t>6</w:t>
            </w:r>
          </w:p>
        </w:tc>
      </w:tr>
      <w:tr w14:paraId="61F32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9" w:type="dxa"/>
            <w:vMerge w:val="restart"/>
            <w:noWrap/>
            <w:vAlign w:val="center"/>
          </w:tcPr>
          <w:p w14:paraId="06FDF02D">
            <w:pPr>
              <w:pStyle w:val="19"/>
              <w:spacing w:line="360" w:lineRule="auto"/>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商务部分</w:t>
            </w:r>
          </w:p>
          <w:p w14:paraId="13C04712">
            <w:pPr>
              <w:pStyle w:val="19"/>
              <w:spacing w:line="360" w:lineRule="auto"/>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（25分）</w:t>
            </w:r>
          </w:p>
        </w:tc>
        <w:tc>
          <w:tcPr>
            <w:tcW w:w="1111" w:type="dxa"/>
            <w:noWrap/>
            <w:vAlign w:val="center"/>
          </w:tcPr>
          <w:p w14:paraId="3095769D">
            <w:pPr>
              <w:pStyle w:val="19"/>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综合实力</w:t>
            </w:r>
          </w:p>
        </w:tc>
        <w:tc>
          <w:tcPr>
            <w:tcW w:w="5579" w:type="dxa"/>
            <w:vAlign w:val="center"/>
          </w:tcPr>
          <w:p w14:paraId="2D2E9FB4">
            <w:pPr>
              <w:pStyle w:val="19"/>
              <w:keepNext w:val="0"/>
              <w:keepLines w:val="0"/>
              <w:pageBreakBefore w:val="0"/>
              <w:widowControl w:val="0"/>
              <w:kinsoku/>
              <w:wordWrap/>
              <w:overflowPunct/>
              <w:topLinePunct w:val="0"/>
              <w:autoSpaceDE/>
              <w:autoSpaceDN/>
              <w:bidi w:val="0"/>
              <w:spacing w:line="400" w:lineRule="exact"/>
              <w:textAlignment w:val="auto"/>
              <w:rPr>
                <w:rFonts w:hint="eastAsia" w:ascii="仿宋_GB2312" w:hAnsi="仿宋_GB2312" w:eastAsia="仿宋_GB2312" w:cs="仿宋_GB2312"/>
                <w:sz w:val="30"/>
                <w:szCs w:val="30"/>
              </w:rPr>
            </w:pPr>
            <w:bookmarkStart w:id="2" w:name="OLE_LINK4"/>
            <w:bookmarkStart w:id="3" w:name="OLE_LINK5"/>
            <w:r>
              <w:rPr>
                <w:rFonts w:hint="eastAsia" w:ascii="仿宋_GB2312" w:hAnsi="仿宋_GB2312" w:eastAsia="仿宋_GB2312" w:cs="仿宋_GB2312"/>
                <w:sz w:val="30"/>
                <w:szCs w:val="30"/>
              </w:rPr>
              <w:t>投标人具有</w:t>
            </w:r>
            <w:bookmarkEnd w:id="2"/>
            <w:bookmarkEnd w:id="3"/>
            <w:r>
              <w:rPr>
                <w:rFonts w:hint="eastAsia" w:ascii="仿宋_GB2312" w:hAnsi="仿宋_GB2312" w:eastAsia="仿宋_GB2312" w:cs="仿宋_GB2312"/>
                <w:sz w:val="30"/>
                <w:szCs w:val="30"/>
              </w:rPr>
              <w:t>ISO9001质量管理体系认证证书</w:t>
            </w:r>
          </w:p>
          <w:p w14:paraId="775AB335">
            <w:pPr>
              <w:pStyle w:val="19"/>
              <w:keepNext w:val="0"/>
              <w:keepLines w:val="0"/>
              <w:pageBreakBefore w:val="0"/>
              <w:widowControl w:val="0"/>
              <w:kinsoku/>
              <w:wordWrap/>
              <w:overflowPunct/>
              <w:topLinePunct w:val="0"/>
              <w:autoSpaceDE/>
              <w:autoSpaceDN/>
              <w:bidi w:val="0"/>
              <w:spacing w:line="40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投标人具有ISO27001信息安全管理体系认证证书</w:t>
            </w:r>
          </w:p>
          <w:p w14:paraId="106CBD8C">
            <w:pPr>
              <w:pStyle w:val="19"/>
              <w:keepNext w:val="0"/>
              <w:keepLines w:val="0"/>
              <w:pageBreakBefore w:val="0"/>
              <w:widowControl w:val="0"/>
              <w:kinsoku/>
              <w:wordWrap/>
              <w:overflowPunct/>
              <w:topLinePunct w:val="0"/>
              <w:autoSpaceDE/>
              <w:autoSpaceDN/>
              <w:bidi w:val="0"/>
              <w:spacing w:line="40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投标人具有ISO20000信息技术服务管理体系认证证书</w:t>
            </w:r>
          </w:p>
          <w:p w14:paraId="38851BCB">
            <w:pPr>
              <w:pStyle w:val="19"/>
              <w:keepNext w:val="0"/>
              <w:keepLines w:val="0"/>
              <w:pageBreakBefore w:val="0"/>
              <w:widowControl w:val="0"/>
              <w:kinsoku/>
              <w:wordWrap/>
              <w:overflowPunct/>
              <w:topLinePunct w:val="0"/>
              <w:autoSpaceDE/>
              <w:autoSpaceDN/>
              <w:bidi w:val="0"/>
              <w:spacing w:line="40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投标人具有ISO45001职业健康安全管理体系认证证书</w:t>
            </w:r>
          </w:p>
          <w:p w14:paraId="343A187C">
            <w:pPr>
              <w:pStyle w:val="19"/>
              <w:keepNext w:val="0"/>
              <w:keepLines w:val="0"/>
              <w:pageBreakBefore w:val="0"/>
              <w:widowControl w:val="0"/>
              <w:kinsoku/>
              <w:wordWrap/>
              <w:overflowPunct/>
              <w:topLinePunct w:val="0"/>
              <w:autoSpaceDE/>
              <w:autoSpaceDN/>
              <w:bidi w:val="0"/>
              <w:spacing w:line="40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每具有一个证书得2分，最多得8分。</w:t>
            </w:r>
          </w:p>
          <w:p w14:paraId="76ED3252">
            <w:pPr>
              <w:pStyle w:val="19"/>
              <w:keepNext w:val="0"/>
              <w:keepLines w:val="0"/>
              <w:pageBreakBefore w:val="0"/>
              <w:widowControl w:val="0"/>
              <w:kinsoku/>
              <w:wordWrap/>
              <w:overflowPunct/>
              <w:topLinePunct w:val="0"/>
              <w:autoSpaceDE/>
              <w:autoSpaceDN/>
              <w:bidi w:val="0"/>
              <w:spacing w:line="40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（投标人需提供证书复印件加盖公章，没有或未提供证明材料本项不得分。）</w:t>
            </w:r>
          </w:p>
        </w:tc>
        <w:tc>
          <w:tcPr>
            <w:tcW w:w="737" w:type="dxa"/>
            <w:noWrap/>
            <w:vAlign w:val="center"/>
          </w:tcPr>
          <w:p w14:paraId="20AA73CB">
            <w:pPr>
              <w:pStyle w:val="19"/>
              <w:spacing w:line="360" w:lineRule="auto"/>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8</w:t>
            </w:r>
          </w:p>
        </w:tc>
      </w:tr>
      <w:tr w14:paraId="2FD06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9" w:type="dxa"/>
            <w:vMerge w:val="continue"/>
            <w:noWrap/>
            <w:vAlign w:val="center"/>
          </w:tcPr>
          <w:p w14:paraId="69F9F4B9">
            <w:pPr>
              <w:pStyle w:val="19"/>
              <w:spacing w:line="360" w:lineRule="auto"/>
              <w:jc w:val="left"/>
              <w:rPr>
                <w:rFonts w:hint="eastAsia" w:ascii="仿宋_GB2312" w:hAnsi="仿宋_GB2312" w:eastAsia="仿宋_GB2312" w:cs="仿宋_GB2312"/>
                <w:sz w:val="30"/>
                <w:szCs w:val="30"/>
              </w:rPr>
            </w:pPr>
          </w:p>
        </w:tc>
        <w:tc>
          <w:tcPr>
            <w:tcW w:w="1111" w:type="dxa"/>
            <w:noWrap/>
            <w:vAlign w:val="center"/>
          </w:tcPr>
          <w:p w14:paraId="34083E80">
            <w:pPr>
              <w:pStyle w:val="19"/>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类似业绩</w:t>
            </w:r>
          </w:p>
        </w:tc>
        <w:tc>
          <w:tcPr>
            <w:tcW w:w="5579" w:type="dxa"/>
            <w:vAlign w:val="center"/>
          </w:tcPr>
          <w:p w14:paraId="639CC0DC">
            <w:pPr>
              <w:pStyle w:val="19"/>
              <w:keepNext w:val="0"/>
              <w:keepLines w:val="0"/>
              <w:pageBreakBefore w:val="0"/>
              <w:widowControl w:val="0"/>
              <w:kinsoku/>
              <w:wordWrap/>
              <w:overflowPunct/>
              <w:topLinePunct w:val="0"/>
              <w:autoSpaceDE/>
              <w:autoSpaceDN/>
              <w:bidi w:val="0"/>
              <w:spacing w:line="40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投标人具有近1年内“互联网+护理服务”案例，每提供一个业绩案例得1.5分，本项最多9分。（投标文件中须提供合同复印件，未提供或未按要求提供的不得分。）</w:t>
            </w:r>
          </w:p>
        </w:tc>
        <w:tc>
          <w:tcPr>
            <w:tcW w:w="737" w:type="dxa"/>
            <w:noWrap/>
            <w:vAlign w:val="center"/>
          </w:tcPr>
          <w:p w14:paraId="532C3E81">
            <w:pPr>
              <w:pStyle w:val="19"/>
              <w:spacing w:line="360" w:lineRule="auto"/>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9</w:t>
            </w:r>
          </w:p>
        </w:tc>
      </w:tr>
      <w:tr w14:paraId="33E34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9" w:type="dxa"/>
            <w:vMerge w:val="continue"/>
            <w:vAlign w:val="center"/>
          </w:tcPr>
          <w:p w14:paraId="2F9994ED">
            <w:pPr>
              <w:pStyle w:val="19"/>
              <w:spacing w:line="360" w:lineRule="auto"/>
              <w:jc w:val="left"/>
              <w:rPr>
                <w:rFonts w:hint="eastAsia" w:ascii="仿宋_GB2312" w:hAnsi="仿宋_GB2312" w:eastAsia="仿宋_GB2312" w:cs="仿宋_GB2312"/>
                <w:sz w:val="30"/>
                <w:szCs w:val="30"/>
              </w:rPr>
            </w:pPr>
          </w:p>
        </w:tc>
        <w:tc>
          <w:tcPr>
            <w:tcW w:w="1111" w:type="dxa"/>
            <w:noWrap/>
            <w:vAlign w:val="center"/>
          </w:tcPr>
          <w:p w14:paraId="360D3091">
            <w:pPr>
              <w:pStyle w:val="19"/>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软件著作权</w:t>
            </w:r>
          </w:p>
        </w:tc>
        <w:tc>
          <w:tcPr>
            <w:tcW w:w="5579" w:type="dxa"/>
            <w:vAlign w:val="center"/>
          </w:tcPr>
          <w:p w14:paraId="28765D13">
            <w:pPr>
              <w:pStyle w:val="19"/>
              <w:keepNext w:val="0"/>
              <w:keepLines w:val="0"/>
              <w:pageBreakBefore w:val="0"/>
              <w:widowControl w:val="0"/>
              <w:kinsoku/>
              <w:wordWrap/>
              <w:overflowPunct/>
              <w:topLinePunct w:val="0"/>
              <w:autoSpaceDE/>
              <w:autoSpaceDN/>
              <w:bidi w:val="0"/>
              <w:spacing w:line="40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投标人</w:t>
            </w:r>
            <w:r>
              <w:rPr>
                <w:rFonts w:hint="eastAsia" w:ascii="仿宋_GB2312" w:hAnsi="仿宋_GB2312" w:eastAsia="仿宋_GB2312" w:cs="仿宋_GB2312"/>
                <w:sz w:val="30"/>
                <w:szCs w:val="30"/>
                <w:lang w:eastAsia="zh"/>
              </w:rPr>
              <w:t>具有</w:t>
            </w:r>
            <w:r>
              <w:rPr>
                <w:rFonts w:hint="eastAsia" w:ascii="仿宋_GB2312" w:hAnsi="仿宋_GB2312" w:eastAsia="仿宋_GB2312" w:cs="仿宋_GB2312"/>
                <w:sz w:val="30"/>
                <w:szCs w:val="30"/>
              </w:rPr>
              <w:t>互联网护理服务相关软件著作权登记证书，需提供相关软件著作权登记证书复印件并加盖投标人公章。每提供1个得2分，本项满分8分。</w:t>
            </w:r>
          </w:p>
          <w:p w14:paraId="6972C79A">
            <w:pPr>
              <w:pStyle w:val="19"/>
              <w:keepNext w:val="0"/>
              <w:keepLines w:val="0"/>
              <w:pageBreakBefore w:val="0"/>
              <w:widowControl w:val="0"/>
              <w:kinsoku/>
              <w:wordWrap/>
              <w:overflowPunct/>
              <w:topLinePunct w:val="0"/>
              <w:autoSpaceDE/>
              <w:autoSpaceDN/>
              <w:bidi w:val="0"/>
              <w:spacing w:line="40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（不同版本号只计算一次，提供认证证书复印件并加盖公章，没有或未提供证明材料本项不得分。）</w:t>
            </w:r>
          </w:p>
        </w:tc>
        <w:tc>
          <w:tcPr>
            <w:tcW w:w="737" w:type="dxa"/>
            <w:noWrap/>
            <w:vAlign w:val="center"/>
          </w:tcPr>
          <w:p w14:paraId="74E89AE6">
            <w:pPr>
              <w:pStyle w:val="19"/>
              <w:spacing w:line="360" w:lineRule="auto"/>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8</w:t>
            </w:r>
          </w:p>
        </w:tc>
      </w:tr>
      <w:tr w14:paraId="35A0A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819" w:type="dxa"/>
            <w:gridSpan w:val="3"/>
            <w:vAlign w:val="center"/>
          </w:tcPr>
          <w:p w14:paraId="7E9B6301">
            <w:pPr>
              <w:pStyle w:val="19"/>
              <w:spacing w:line="360" w:lineRule="auto"/>
              <w:jc w:val="center"/>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合计：</w:t>
            </w:r>
          </w:p>
        </w:tc>
        <w:tc>
          <w:tcPr>
            <w:tcW w:w="737" w:type="dxa"/>
            <w:noWrap/>
            <w:vAlign w:val="center"/>
          </w:tcPr>
          <w:p w14:paraId="75C1C438">
            <w:pPr>
              <w:pStyle w:val="19"/>
              <w:spacing w:line="360" w:lineRule="auto"/>
              <w:jc w:val="center"/>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100</w:t>
            </w:r>
          </w:p>
        </w:tc>
      </w:tr>
    </w:tbl>
    <w:p w14:paraId="566F03E2">
      <w:pPr>
        <w:keepNext w:val="0"/>
        <w:keepLines w:val="0"/>
        <w:pageBreakBefore w:val="0"/>
        <w:widowControl w:val="0"/>
        <w:kinsoku/>
        <w:wordWrap/>
        <w:overflowPunct/>
        <w:topLinePunct w:val="0"/>
        <w:autoSpaceDE/>
        <w:autoSpaceDN/>
        <w:bidi w:val="0"/>
        <w:adjustRightInd/>
        <w:snapToGrid/>
        <w:spacing w:line="20" w:lineRule="exact"/>
        <w:ind w:left="0" w:leftChars="0" w:firstLine="0" w:firstLineChars="0"/>
        <w:textAlignment w:val="auto"/>
      </w:pPr>
      <w:bookmarkStart w:id="4" w:name="_Toc205477478"/>
      <w:bookmarkEnd w:id="4"/>
    </w:p>
    <w:p w14:paraId="6C1D4B1E">
      <w:pPr>
        <w:pStyle w:val="2"/>
        <w:numPr>
          <w:numId w:val="0"/>
        </w:numPr>
        <w:ind w:leftChars="0"/>
        <w:jc w:val="both"/>
        <w:rPr>
          <w:rFonts w:ascii="仿宋_GB2312"/>
        </w:rPr>
      </w:pPr>
    </w:p>
    <w:p w14:paraId="6ED06C91">
      <w:pPr>
        <w:rPr>
          <w:rFonts w:ascii="仿宋_GB2312"/>
        </w:rPr>
      </w:pPr>
    </w:p>
    <w:p w14:paraId="2EE22FA1">
      <w:pPr>
        <w:rPr>
          <w:rFonts w:ascii="仿宋_GB2312"/>
        </w:rPr>
      </w:pPr>
    </w:p>
    <w:p w14:paraId="67D10CB4">
      <w:pPr>
        <w:pStyle w:val="2"/>
        <w:ind w:left="0"/>
        <w:rPr>
          <w:rFonts w:ascii="仿宋_GB2312"/>
        </w:rPr>
      </w:pPr>
      <w:r>
        <w:rPr>
          <w:rFonts w:hint="eastAsia" w:ascii="仿宋_GB2312"/>
        </w:rPr>
        <w:t>投标文件格式</w:t>
      </w:r>
    </w:p>
    <w:p w14:paraId="59E14ED9">
      <w:pPr>
        <w:ind w:firstLine="186" w:firstLineChars="58"/>
        <w:jc w:val="center"/>
        <w:rPr>
          <w:rFonts w:hint="eastAsia" w:ascii="仿宋_GB2312" w:hAnsi="仿宋_GB2312" w:cs="仿宋_GB2312"/>
          <w:b/>
          <w:spacing w:val="-20"/>
          <w:sz w:val="36"/>
        </w:rPr>
      </w:pPr>
    </w:p>
    <w:p w14:paraId="339AC588">
      <w:pPr>
        <w:ind w:firstLine="186" w:firstLineChars="58"/>
        <w:jc w:val="center"/>
        <w:rPr>
          <w:rFonts w:hint="eastAsia" w:ascii="仿宋_GB2312" w:hAnsi="仿宋_GB2312" w:cs="仿宋_GB2312"/>
          <w:b/>
          <w:spacing w:val="-20"/>
          <w:sz w:val="36"/>
        </w:rPr>
      </w:pPr>
    </w:p>
    <w:p w14:paraId="5398BF0F">
      <w:pPr>
        <w:ind w:firstLine="1366"/>
        <w:jc w:val="center"/>
        <w:rPr>
          <w:rFonts w:hint="eastAsia" w:ascii="仿宋_GB2312" w:hAnsi="仿宋_GB2312" w:cs="仿宋_GB2312"/>
          <w:b/>
          <w:spacing w:val="-20"/>
          <w:sz w:val="72"/>
          <w:szCs w:val="72"/>
        </w:rPr>
      </w:pPr>
      <w:r>
        <w:rPr>
          <w:rFonts w:hint="eastAsia" w:ascii="仿宋_GB2312" w:hAnsi="仿宋_GB2312" w:cs="仿宋_GB2312"/>
          <w:b/>
          <w:spacing w:val="-20"/>
          <w:sz w:val="72"/>
          <w:szCs w:val="72"/>
        </w:rPr>
        <w:t>投标文件</w:t>
      </w:r>
    </w:p>
    <w:p w14:paraId="25E67552">
      <w:pPr>
        <w:ind w:firstLine="560"/>
        <w:jc w:val="center"/>
        <w:rPr>
          <w:rFonts w:hint="eastAsia" w:ascii="仿宋_GB2312" w:hAnsi="仿宋_GB2312" w:cs="仿宋_GB2312"/>
          <w:spacing w:val="-20"/>
          <w:sz w:val="32"/>
          <w:szCs w:val="32"/>
        </w:rPr>
      </w:pPr>
      <w:r>
        <w:rPr>
          <w:rFonts w:hint="eastAsia" w:ascii="仿宋_GB2312" w:hAnsi="仿宋_GB2312" w:cs="仿宋_GB2312"/>
          <w:spacing w:val="-20"/>
          <w:sz w:val="32"/>
          <w:szCs w:val="32"/>
        </w:rPr>
        <w:t>（正本/副本）</w:t>
      </w:r>
    </w:p>
    <w:p w14:paraId="152FA096">
      <w:pPr>
        <w:ind w:firstLine="1366"/>
        <w:jc w:val="center"/>
        <w:rPr>
          <w:rFonts w:hint="eastAsia" w:ascii="仿宋_GB2312" w:hAnsi="仿宋_GB2312" w:cs="仿宋_GB2312"/>
          <w:b/>
          <w:spacing w:val="-20"/>
          <w:sz w:val="72"/>
          <w:szCs w:val="72"/>
        </w:rPr>
      </w:pPr>
    </w:p>
    <w:p w14:paraId="5F304D24">
      <w:pPr>
        <w:ind w:firstLine="640"/>
        <w:rPr>
          <w:rFonts w:hint="eastAsia" w:ascii="仿宋_GB2312" w:hAnsi="仿宋_GB2312" w:cs="仿宋_GB2312"/>
          <w:spacing w:val="-20"/>
          <w:sz w:val="36"/>
        </w:rPr>
      </w:pPr>
    </w:p>
    <w:p w14:paraId="5B0C5630">
      <w:pPr>
        <w:ind w:firstLine="640"/>
        <w:rPr>
          <w:rFonts w:hint="eastAsia" w:ascii="仿宋_GB2312" w:hAnsi="仿宋_GB2312" w:cs="仿宋_GB2312"/>
          <w:spacing w:val="-20"/>
          <w:sz w:val="36"/>
        </w:rPr>
      </w:pPr>
    </w:p>
    <w:p w14:paraId="03534FCD">
      <w:pPr>
        <w:ind w:firstLine="640"/>
        <w:rPr>
          <w:rFonts w:hint="eastAsia" w:ascii="仿宋_GB2312" w:hAnsi="仿宋_GB2312" w:cs="仿宋_GB2312"/>
          <w:spacing w:val="-20"/>
          <w:sz w:val="36"/>
        </w:rPr>
      </w:pPr>
    </w:p>
    <w:p w14:paraId="2E290F37">
      <w:pPr>
        <w:ind w:firstLine="1400" w:firstLineChars="500"/>
        <w:rPr>
          <w:rFonts w:hint="eastAsia" w:ascii="仿宋_GB2312" w:hAnsi="仿宋_GB2312" w:cs="仿宋_GB2312"/>
          <w:spacing w:val="-20"/>
          <w:sz w:val="32"/>
          <w:szCs w:val="32"/>
        </w:rPr>
      </w:pPr>
    </w:p>
    <w:p w14:paraId="78397D1B">
      <w:pPr>
        <w:ind w:firstLine="1400" w:firstLineChars="500"/>
        <w:rPr>
          <w:rFonts w:hint="eastAsia" w:ascii="仿宋_GB2312" w:hAnsi="仿宋_GB2312" w:cs="仿宋_GB2312"/>
          <w:spacing w:val="-20"/>
          <w:sz w:val="32"/>
          <w:szCs w:val="32"/>
        </w:rPr>
      </w:pPr>
      <w:r>
        <w:rPr>
          <w:rFonts w:hint="eastAsia" w:ascii="仿宋_GB2312" w:hAnsi="仿宋_GB2312" w:cs="仿宋_GB2312"/>
          <w:spacing w:val="-20"/>
          <w:sz w:val="32"/>
          <w:szCs w:val="32"/>
        </w:rPr>
        <w:t>投标人（盖章）：</w:t>
      </w:r>
    </w:p>
    <w:p w14:paraId="50817AA1">
      <w:pPr>
        <w:ind w:firstLine="1400" w:firstLineChars="500"/>
        <w:rPr>
          <w:rFonts w:hint="eastAsia" w:ascii="仿宋_GB2312" w:hAnsi="仿宋_GB2312" w:cs="仿宋_GB2312"/>
          <w:spacing w:val="-20"/>
          <w:sz w:val="32"/>
          <w:szCs w:val="32"/>
        </w:rPr>
      </w:pPr>
      <w:r>
        <w:rPr>
          <w:rFonts w:hint="eastAsia" w:ascii="仿宋_GB2312" w:hAnsi="仿宋_GB2312" w:cs="仿宋_GB2312"/>
          <w:spacing w:val="-20"/>
          <w:sz w:val="32"/>
          <w:szCs w:val="32"/>
        </w:rPr>
        <w:t>法定代表人（签字或盖章）：</w:t>
      </w:r>
    </w:p>
    <w:p w14:paraId="124A5C37">
      <w:pPr>
        <w:ind w:firstLine="1400" w:firstLineChars="500"/>
        <w:rPr>
          <w:rFonts w:hint="eastAsia" w:ascii="仿宋_GB2312" w:hAnsi="仿宋_GB2312" w:cs="仿宋_GB2312"/>
          <w:spacing w:val="-20"/>
          <w:sz w:val="32"/>
          <w:szCs w:val="32"/>
        </w:rPr>
      </w:pPr>
      <w:r>
        <w:rPr>
          <w:rFonts w:hint="eastAsia" w:ascii="仿宋_GB2312" w:hAnsi="仿宋_GB2312" w:cs="仿宋_GB2312"/>
          <w:spacing w:val="-20"/>
          <w:sz w:val="32"/>
          <w:szCs w:val="32"/>
        </w:rPr>
        <w:t>或委托代理人：</w:t>
      </w:r>
    </w:p>
    <w:p w14:paraId="49C068C5">
      <w:pPr>
        <w:ind w:firstLine="1400" w:firstLineChars="500"/>
        <w:rPr>
          <w:rFonts w:hint="eastAsia" w:ascii="仿宋_GB2312" w:hAnsi="仿宋_GB2312" w:cs="仿宋_GB2312"/>
          <w:spacing w:val="-20"/>
          <w:sz w:val="32"/>
          <w:szCs w:val="32"/>
        </w:rPr>
      </w:pPr>
      <w:r>
        <w:rPr>
          <w:rFonts w:hint="eastAsia" w:ascii="仿宋_GB2312" w:hAnsi="仿宋_GB2312" w:cs="仿宋_GB2312"/>
          <w:spacing w:val="-20"/>
          <w:sz w:val="32"/>
          <w:szCs w:val="32"/>
        </w:rPr>
        <w:t>日期：年月日</w:t>
      </w:r>
    </w:p>
    <w:p w14:paraId="75802FA5">
      <w:pPr>
        <w:ind w:firstLine="1400" w:firstLineChars="500"/>
        <w:rPr>
          <w:rFonts w:hint="eastAsia" w:ascii="仿宋_GB2312" w:hAnsi="仿宋_GB2312" w:cs="仿宋_GB2312"/>
          <w:spacing w:val="-20"/>
          <w:sz w:val="32"/>
          <w:szCs w:val="32"/>
        </w:rPr>
      </w:pPr>
    </w:p>
    <w:p w14:paraId="51B0C43A">
      <w:pPr>
        <w:ind w:firstLine="1000" w:firstLineChars="500"/>
        <w:rPr>
          <w:rFonts w:hint="eastAsia" w:ascii="仿宋_GB2312" w:hAnsi="仿宋_GB2312" w:cs="仿宋_GB2312"/>
          <w:spacing w:val="-20"/>
          <w:sz w:val="24"/>
          <w:szCs w:val="32"/>
        </w:rPr>
      </w:pPr>
    </w:p>
    <w:p w14:paraId="0564C582">
      <w:pPr>
        <w:pStyle w:val="18"/>
        <w:numPr>
          <w:ilvl w:val="0"/>
          <w:numId w:val="5"/>
        </w:numPr>
        <w:ind w:left="0" w:firstLine="0" w:firstLineChars="0"/>
        <w:jc w:val="center"/>
        <w:rPr>
          <w:rFonts w:hint="eastAsia" w:ascii="仿宋_GB2312" w:hAnsi="仿宋_GB2312" w:cs="仿宋_GB2312"/>
          <w:sz w:val="32"/>
          <w:szCs w:val="32"/>
        </w:rPr>
      </w:pPr>
      <w:r>
        <w:rPr>
          <w:rFonts w:hint="eastAsia" w:ascii="仿宋_GB2312" w:hAnsi="仿宋_GB2312" w:cs="仿宋_GB2312"/>
          <w:sz w:val="36"/>
        </w:rPr>
        <w:br w:type="column"/>
      </w:r>
      <w:r>
        <w:rPr>
          <w:rFonts w:hint="eastAsia" w:ascii="仿宋_GB2312" w:hAnsi="仿宋_GB2312" w:cs="仿宋_GB2312"/>
          <w:sz w:val="32"/>
          <w:szCs w:val="32"/>
        </w:rPr>
        <w:t>投标函</w:t>
      </w:r>
    </w:p>
    <w:p w14:paraId="05F9B6F1">
      <w:pPr>
        <w:ind w:firstLine="440"/>
        <w:rPr>
          <w:rFonts w:hint="eastAsia" w:ascii="仿宋_GB2312" w:hAnsi="仿宋_GB2312" w:cs="仿宋_GB2312"/>
          <w:sz w:val="22"/>
        </w:rPr>
      </w:pPr>
      <w:r>
        <w:rPr>
          <w:rFonts w:hint="eastAsia" w:ascii="仿宋_GB2312" w:hAnsi="仿宋_GB2312" w:cs="仿宋_GB2312"/>
          <w:sz w:val="22"/>
        </w:rPr>
        <w:t>致：</w:t>
      </w:r>
    </w:p>
    <w:p w14:paraId="57EBDD31">
      <w:pPr>
        <w:ind w:firstLine="440"/>
        <w:rPr>
          <w:rFonts w:hint="eastAsia" w:ascii="仿宋_GB2312" w:hAnsi="仿宋_GB2312" w:cs="仿宋_GB2312"/>
          <w:sz w:val="22"/>
        </w:rPr>
      </w:pPr>
    </w:p>
    <w:p w14:paraId="0E918FFF">
      <w:pPr>
        <w:ind w:firstLine="420"/>
        <w:rPr>
          <w:rFonts w:hint="eastAsia" w:ascii="仿宋_GB2312" w:hAnsi="仿宋_GB2312" w:cs="仿宋_GB2312"/>
          <w:szCs w:val="21"/>
        </w:rPr>
      </w:pPr>
      <w:r>
        <w:rPr>
          <w:rFonts w:hint="eastAsia" w:ascii="仿宋_GB2312" w:hAnsi="仿宋_GB2312" w:cs="仿宋_GB2312"/>
          <w:szCs w:val="21"/>
        </w:rPr>
        <w:t>根据贵方</w:t>
      </w:r>
      <w:r>
        <w:rPr>
          <w:rFonts w:hint="eastAsia" w:ascii="仿宋_GB2312" w:hAnsi="仿宋_GB2312" w:cs="仿宋_GB2312"/>
          <w:szCs w:val="21"/>
          <w:u w:val="single"/>
        </w:rPr>
        <w:t>（项目名称）</w:t>
      </w:r>
      <w:r>
        <w:rPr>
          <w:rFonts w:hint="eastAsia" w:ascii="仿宋_GB2312" w:hAnsi="仿宋_GB2312" w:cs="仿宋_GB2312"/>
          <w:szCs w:val="21"/>
        </w:rPr>
        <w:t>项目，投标人代表</w:t>
      </w:r>
      <w:r>
        <w:rPr>
          <w:rFonts w:hint="eastAsia" w:ascii="仿宋_GB2312" w:hAnsi="仿宋_GB2312" w:cs="仿宋_GB2312"/>
          <w:szCs w:val="21"/>
          <w:u w:val="single"/>
        </w:rPr>
        <w:t>（姓名、职务）</w:t>
      </w:r>
      <w:r>
        <w:rPr>
          <w:rFonts w:hint="eastAsia" w:ascii="仿宋_GB2312" w:hAnsi="仿宋_GB2312" w:cs="仿宋_GB2312"/>
          <w:szCs w:val="21"/>
        </w:rPr>
        <w:t>经正式授权并代表投标人</w:t>
      </w:r>
      <w:r>
        <w:rPr>
          <w:rFonts w:hint="eastAsia" w:ascii="仿宋_GB2312" w:hAnsi="仿宋_GB2312" w:cs="仿宋_GB2312"/>
          <w:szCs w:val="21"/>
          <w:u w:val="single"/>
        </w:rPr>
        <w:t>（投标人名称、地址）</w:t>
      </w:r>
      <w:r>
        <w:rPr>
          <w:rFonts w:hint="eastAsia" w:ascii="仿宋_GB2312" w:hAnsi="仿宋_GB2312" w:cs="仿宋_GB2312"/>
          <w:szCs w:val="21"/>
        </w:rPr>
        <w:t>提交投标文件。</w:t>
      </w:r>
    </w:p>
    <w:p w14:paraId="014DF265">
      <w:pPr>
        <w:ind w:firstLine="420"/>
        <w:rPr>
          <w:rFonts w:hint="eastAsia" w:ascii="仿宋_GB2312" w:hAnsi="仿宋_GB2312" w:cs="仿宋_GB2312"/>
          <w:szCs w:val="21"/>
        </w:rPr>
      </w:pPr>
    </w:p>
    <w:p w14:paraId="2658CE7B">
      <w:pPr>
        <w:ind w:firstLine="420"/>
        <w:rPr>
          <w:rFonts w:hint="eastAsia" w:ascii="仿宋_GB2312" w:hAnsi="仿宋_GB2312" w:cs="仿宋_GB2312"/>
          <w:szCs w:val="21"/>
        </w:rPr>
      </w:pPr>
      <w:r>
        <w:rPr>
          <w:rFonts w:hint="eastAsia" w:ascii="仿宋_GB2312" w:hAnsi="仿宋_GB2312" w:cs="仿宋_GB2312"/>
          <w:szCs w:val="21"/>
        </w:rPr>
        <w:t>据此函，签字代表宣布同意如下：</w:t>
      </w:r>
    </w:p>
    <w:p w14:paraId="37F60A98">
      <w:pPr>
        <w:ind w:firstLine="420"/>
        <w:rPr>
          <w:rFonts w:hint="eastAsia" w:ascii="仿宋_GB2312" w:hAnsi="仿宋_GB2312" w:cs="仿宋_GB2312"/>
          <w:szCs w:val="21"/>
        </w:rPr>
      </w:pPr>
      <w:r>
        <w:rPr>
          <w:rFonts w:hint="eastAsia" w:ascii="仿宋_GB2312" w:hAnsi="仿宋_GB2312" w:cs="仿宋_GB2312"/>
          <w:szCs w:val="21"/>
        </w:rPr>
        <w:t>1.投标价格为。</w:t>
      </w:r>
    </w:p>
    <w:p w14:paraId="75013A40">
      <w:pPr>
        <w:ind w:firstLine="420"/>
        <w:rPr>
          <w:rFonts w:hint="eastAsia" w:ascii="仿宋_GB2312" w:hAnsi="仿宋_GB2312" w:cs="仿宋_GB2312"/>
          <w:szCs w:val="21"/>
        </w:rPr>
      </w:pPr>
      <w:r>
        <w:rPr>
          <w:rFonts w:hint="eastAsia" w:ascii="仿宋_GB2312" w:hAnsi="仿宋_GB2312" w:cs="仿宋_GB2312"/>
          <w:szCs w:val="21"/>
        </w:rPr>
        <w:t>2.投标人将按采购文件的规定履行合同责任和义务。</w:t>
      </w:r>
    </w:p>
    <w:p w14:paraId="4B24A747">
      <w:pPr>
        <w:ind w:firstLine="420"/>
        <w:rPr>
          <w:rFonts w:hint="eastAsia" w:ascii="仿宋_GB2312" w:hAnsi="仿宋_GB2312" w:cs="仿宋_GB2312"/>
          <w:szCs w:val="21"/>
        </w:rPr>
      </w:pPr>
      <w:r>
        <w:rPr>
          <w:rFonts w:hint="eastAsia" w:ascii="仿宋_GB2312" w:hAnsi="仿宋_GB2312" w:cs="仿宋_GB2312"/>
          <w:szCs w:val="21"/>
        </w:rPr>
        <w:t>3.投标人已详细审查全部采购文件，包括有关澄清和修改说明（如果有的话）。我们完全理解并同意放弃对这方面有不明及误解的权力。</w:t>
      </w:r>
    </w:p>
    <w:p w14:paraId="58323CB6">
      <w:pPr>
        <w:ind w:firstLine="420"/>
        <w:rPr>
          <w:rFonts w:hint="eastAsia" w:ascii="仿宋_GB2312" w:hAnsi="仿宋_GB2312" w:cs="仿宋_GB2312"/>
          <w:szCs w:val="21"/>
        </w:rPr>
      </w:pPr>
      <w:r>
        <w:rPr>
          <w:rFonts w:hint="eastAsia" w:ascii="仿宋_GB2312" w:hAnsi="仿宋_GB2312" w:cs="仿宋_GB2312"/>
          <w:szCs w:val="21"/>
        </w:rPr>
        <w:t>4.本投标有效期为自开标日起90个日历日。在这期间，本投标文件将始终对我方具有约束力。</w:t>
      </w:r>
    </w:p>
    <w:p w14:paraId="1A4FFDDE">
      <w:pPr>
        <w:ind w:firstLine="420"/>
        <w:rPr>
          <w:rFonts w:hint="eastAsia" w:ascii="仿宋_GB2312" w:hAnsi="仿宋_GB2312" w:cs="仿宋_GB2312"/>
          <w:szCs w:val="21"/>
        </w:rPr>
      </w:pPr>
      <w:r>
        <w:rPr>
          <w:rFonts w:hint="eastAsia" w:ascii="仿宋_GB2312" w:hAnsi="仿宋_GB2312" w:cs="仿宋_GB2312"/>
          <w:szCs w:val="21"/>
        </w:rPr>
        <w:t>5.如果中标，本次采购文件和本投标文件（含承诺书）将作为合同的附件。</w:t>
      </w:r>
    </w:p>
    <w:p w14:paraId="09CAE8C5">
      <w:pPr>
        <w:ind w:firstLine="420"/>
        <w:rPr>
          <w:rFonts w:hint="eastAsia" w:ascii="仿宋_GB2312" w:hAnsi="仿宋_GB2312" w:cs="仿宋_GB2312"/>
          <w:szCs w:val="21"/>
        </w:rPr>
      </w:pPr>
      <w:r>
        <w:rPr>
          <w:rFonts w:hint="eastAsia" w:ascii="仿宋_GB2312" w:hAnsi="仿宋_GB2312" w:cs="仿宋_GB2312"/>
          <w:szCs w:val="21"/>
        </w:rPr>
        <w:t>6.投标人愿意向采购人提供任何与本次采购有关的其他资料。</w:t>
      </w:r>
    </w:p>
    <w:p w14:paraId="48508D1B">
      <w:pPr>
        <w:ind w:firstLine="420"/>
        <w:rPr>
          <w:rFonts w:hint="eastAsia" w:ascii="仿宋_GB2312" w:hAnsi="仿宋_GB2312" w:cs="仿宋_GB2312"/>
          <w:szCs w:val="21"/>
        </w:rPr>
      </w:pPr>
      <w:r>
        <w:rPr>
          <w:rFonts w:hint="eastAsia" w:ascii="仿宋_GB2312" w:hAnsi="仿宋_GB2312" w:cs="仿宋_GB2312"/>
          <w:szCs w:val="21"/>
        </w:rPr>
        <w:t>7.投标人愿意履行自己在投标文件中的全部承诺和责任。</w:t>
      </w:r>
    </w:p>
    <w:p w14:paraId="55421FD8">
      <w:pPr>
        <w:ind w:firstLine="420"/>
        <w:rPr>
          <w:rFonts w:hint="eastAsia" w:ascii="仿宋_GB2312" w:hAnsi="仿宋_GB2312" w:cs="仿宋_GB2312"/>
          <w:szCs w:val="21"/>
        </w:rPr>
      </w:pPr>
      <w:r>
        <w:rPr>
          <w:rFonts w:hint="eastAsia" w:ascii="仿宋_GB2312" w:hAnsi="仿宋_GB2312" w:cs="仿宋_GB2312"/>
          <w:szCs w:val="21"/>
        </w:rPr>
        <w:t>8.投标人愿意遵守采购文件中对投标者的所有规定。</w:t>
      </w:r>
    </w:p>
    <w:p w14:paraId="64CC95E8">
      <w:pPr>
        <w:ind w:firstLine="420"/>
        <w:rPr>
          <w:rFonts w:hint="eastAsia" w:ascii="仿宋_GB2312" w:hAnsi="仿宋_GB2312" w:cs="仿宋_GB2312"/>
          <w:szCs w:val="21"/>
        </w:rPr>
      </w:pPr>
      <w:r>
        <w:rPr>
          <w:rFonts w:hint="eastAsia" w:ascii="仿宋_GB2312" w:hAnsi="仿宋_GB2312" w:cs="仿宋_GB2312"/>
          <w:szCs w:val="21"/>
        </w:rPr>
        <w:t>9.投标人郑重承诺，不以任何形式向评标委员会成员和参与评标的有关工作人员探听对投标文件的评审和比较、中标候选人的推荐情况以及与评标有关的其他情况。</w:t>
      </w:r>
    </w:p>
    <w:p w14:paraId="179FC977">
      <w:pPr>
        <w:ind w:firstLine="420"/>
        <w:rPr>
          <w:rFonts w:hint="eastAsia" w:ascii="仿宋_GB2312" w:hAnsi="仿宋_GB2312" w:cs="仿宋_GB2312"/>
          <w:szCs w:val="21"/>
        </w:rPr>
      </w:pPr>
      <w:r>
        <w:rPr>
          <w:rFonts w:hint="eastAsia" w:ascii="仿宋_GB2312" w:hAnsi="仿宋_GB2312" w:cs="仿宋_GB2312"/>
          <w:szCs w:val="21"/>
        </w:rPr>
        <w:t>10.投标人完全理解采购人有保留在授标之前任何时候接受或拒绝任何投标，以及宣布采购程序无效或拒绝所有投标的权力。我方完全理解采购人无向未中标人解释未中标理由的义务。</w:t>
      </w:r>
    </w:p>
    <w:p w14:paraId="68008816">
      <w:pPr>
        <w:ind w:firstLine="420"/>
        <w:rPr>
          <w:rFonts w:hint="eastAsia" w:ascii="仿宋_GB2312" w:hAnsi="仿宋_GB2312" w:cs="仿宋_GB2312"/>
          <w:szCs w:val="21"/>
        </w:rPr>
      </w:pPr>
      <w:r>
        <w:rPr>
          <w:rFonts w:hint="eastAsia" w:ascii="仿宋_GB2312" w:hAnsi="仿宋_GB2312" w:cs="仿宋_GB2312"/>
          <w:szCs w:val="21"/>
        </w:rPr>
        <w:t>11.投标人同意提供按照采购人可能要求的与其投标有关的一切数据或资料，完全理解贵方不一定接受最低价的投标或收到的任何投标。</w:t>
      </w:r>
    </w:p>
    <w:p w14:paraId="7771941F">
      <w:pPr>
        <w:ind w:firstLine="420"/>
        <w:rPr>
          <w:rFonts w:hint="eastAsia" w:ascii="仿宋_GB2312" w:hAnsi="仿宋_GB2312" w:cs="仿宋_GB2312"/>
          <w:szCs w:val="21"/>
        </w:rPr>
      </w:pPr>
      <w:r>
        <w:rPr>
          <w:rFonts w:hint="eastAsia" w:ascii="仿宋_GB2312" w:hAnsi="仿宋_GB2312" w:cs="仿宋_GB2312"/>
          <w:szCs w:val="21"/>
        </w:rPr>
        <w:t>12.如果我方中标，我方将根据采购文件的规定，严格按照《中华人民共和国民法典》履行自己的责任和义务，保证于我方承诺的期限内完成项目规定的所有内容。</w:t>
      </w:r>
    </w:p>
    <w:p w14:paraId="5B4C6B30">
      <w:pPr>
        <w:ind w:firstLine="420"/>
        <w:rPr>
          <w:rFonts w:hint="eastAsia" w:ascii="仿宋_GB2312" w:hAnsi="仿宋_GB2312" w:cs="仿宋_GB2312"/>
          <w:szCs w:val="21"/>
        </w:rPr>
      </w:pPr>
      <w:r>
        <w:rPr>
          <w:rFonts w:hint="eastAsia" w:ascii="仿宋_GB2312" w:hAnsi="仿宋_GB2312" w:cs="仿宋_GB2312"/>
          <w:szCs w:val="21"/>
        </w:rPr>
        <w:t>13.其他说明：</w:t>
      </w:r>
    </w:p>
    <w:p w14:paraId="1DB8E915">
      <w:pPr>
        <w:ind w:firstLine="420"/>
        <w:rPr>
          <w:rFonts w:hint="eastAsia" w:ascii="仿宋_GB2312" w:hAnsi="仿宋_GB2312" w:cs="仿宋_GB2312"/>
          <w:szCs w:val="21"/>
        </w:rPr>
      </w:pPr>
      <w:r>
        <w:rPr>
          <w:rFonts w:hint="eastAsia" w:ascii="仿宋_GB2312" w:hAnsi="仿宋_GB2312" w:cs="仿宋_GB2312"/>
          <w:szCs w:val="21"/>
        </w:rPr>
        <w:t>14.与本投标有关的一切正式往来信函请寄。</w:t>
      </w:r>
    </w:p>
    <w:p w14:paraId="59D27988">
      <w:pPr>
        <w:ind w:firstLine="420"/>
        <w:rPr>
          <w:rFonts w:hint="eastAsia" w:ascii="仿宋_GB2312" w:hAnsi="仿宋_GB2312" w:cs="仿宋_GB2312"/>
          <w:szCs w:val="21"/>
        </w:rPr>
      </w:pPr>
    </w:p>
    <w:p w14:paraId="7A8D4B5E">
      <w:pPr>
        <w:ind w:firstLine="630" w:firstLineChars="300"/>
        <w:rPr>
          <w:rFonts w:hint="eastAsia" w:ascii="仿宋_GB2312" w:hAnsi="仿宋_GB2312" w:cs="仿宋_GB2312"/>
          <w:szCs w:val="21"/>
        </w:rPr>
      </w:pPr>
      <w:r>
        <w:rPr>
          <w:rFonts w:hint="eastAsia" w:ascii="仿宋_GB2312" w:hAnsi="仿宋_GB2312" w:cs="仿宋_GB2312"/>
          <w:szCs w:val="21"/>
        </w:rPr>
        <w:t>投标人名称（加盖公章）：</w:t>
      </w:r>
    </w:p>
    <w:p w14:paraId="199143BF">
      <w:pPr>
        <w:ind w:firstLine="630" w:firstLineChars="300"/>
        <w:rPr>
          <w:rFonts w:hint="eastAsia" w:ascii="仿宋_GB2312" w:hAnsi="仿宋_GB2312" w:cs="仿宋_GB2312"/>
          <w:szCs w:val="21"/>
        </w:rPr>
      </w:pPr>
      <w:r>
        <w:rPr>
          <w:rFonts w:hint="eastAsia" w:ascii="仿宋_GB2312" w:hAnsi="仿宋_GB2312" w:cs="仿宋_GB2312"/>
          <w:szCs w:val="21"/>
        </w:rPr>
        <w:t>法定代表人或委托代理人签字：</w:t>
      </w:r>
    </w:p>
    <w:p w14:paraId="74E0ADC1">
      <w:pPr>
        <w:ind w:firstLine="630" w:firstLineChars="300"/>
        <w:rPr>
          <w:rFonts w:hint="eastAsia" w:ascii="仿宋_GB2312" w:hAnsi="仿宋_GB2312" w:cs="仿宋_GB2312"/>
          <w:szCs w:val="21"/>
        </w:rPr>
      </w:pPr>
      <w:r>
        <w:rPr>
          <w:rFonts w:hint="eastAsia" w:ascii="仿宋_GB2312" w:hAnsi="仿宋_GB2312" w:cs="仿宋_GB2312"/>
          <w:szCs w:val="21"/>
        </w:rPr>
        <w:t>地址：</w:t>
      </w:r>
    </w:p>
    <w:p w14:paraId="6A76CE3B">
      <w:pPr>
        <w:ind w:firstLine="630" w:firstLineChars="300"/>
        <w:rPr>
          <w:rFonts w:hint="eastAsia" w:ascii="仿宋_GB2312" w:hAnsi="仿宋_GB2312" w:cs="仿宋_GB2312"/>
          <w:szCs w:val="21"/>
        </w:rPr>
      </w:pPr>
      <w:r>
        <w:rPr>
          <w:rFonts w:hint="eastAsia" w:ascii="仿宋_GB2312" w:hAnsi="仿宋_GB2312" w:cs="仿宋_GB2312"/>
          <w:szCs w:val="21"/>
        </w:rPr>
        <w:t>传真：</w:t>
      </w:r>
    </w:p>
    <w:p w14:paraId="6AD296DB">
      <w:pPr>
        <w:ind w:firstLine="630" w:firstLineChars="300"/>
        <w:rPr>
          <w:rFonts w:hint="eastAsia" w:ascii="仿宋_GB2312" w:hAnsi="仿宋_GB2312" w:cs="仿宋_GB2312"/>
          <w:szCs w:val="21"/>
        </w:rPr>
      </w:pPr>
      <w:r>
        <w:rPr>
          <w:rFonts w:hint="eastAsia" w:ascii="仿宋_GB2312" w:hAnsi="仿宋_GB2312" w:cs="仿宋_GB2312"/>
          <w:szCs w:val="21"/>
        </w:rPr>
        <w:t>电话：</w:t>
      </w:r>
    </w:p>
    <w:p w14:paraId="2BF23F34">
      <w:pPr>
        <w:ind w:firstLine="630" w:firstLineChars="300"/>
        <w:rPr>
          <w:rFonts w:hint="eastAsia" w:ascii="仿宋_GB2312" w:hAnsi="仿宋_GB2312" w:cs="仿宋_GB2312"/>
          <w:szCs w:val="21"/>
        </w:rPr>
      </w:pPr>
      <w:r>
        <w:rPr>
          <w:rFonts w:hint="eastAsia" w:ascii="仿宋_GB2312" w:hAnsi="仿宋_GB2312" w:cs="仿宋_GB2312"/>
          <w:szCs w:val="21"/>
        </w:rPr>
        <w:t>日期：</w:t>
      </w:r>
    </w:p>
    <w:p w14:paraId="076F7A3F">
      <w:pPr>
        <w:ind w:firstLine="0" w:firstLineChars="0"/>
        <w:rPr>
          <w:rFonts w:ascii="仿宋_GB2312"/>
        </w:rPr>
      </w:pPr>
      <w:r>
        <w:rPr>
          <w:rFonts w:hint="eastAsia" w:ascii="仿宋_GB2312"/>
        </w:rPr>
        <w:br w:type="page"/>
      </w:r>
    </w:p>
    <w:p w14:paraId="5AB179E2">
      <w:pPr>
        <w:autoSpaceDE w:val="0"/>
        <w:autoSpaceDN w:val="0"/>
        <w:ind w:right="-5" w:firstLine="0" w:firstLineChars="0"/>
        <w:jc w:val="center"/>
        <w:textAlignment w:val="bottom"/>
        <w:rPr>
          <w:rFonts w:hint="eastAsia" w:ascii="仿宋_GB2312" w:hAnsi="仿宋_GB2312" w:cs="仿宋_GB2312"/>
          <w:sz w:val="32"/>
          <w:szCs w:val="32"/>
        </w:rPr>
      </w:pPr>
      <w:r>
        <w:rPr>
          <w:rFonts w:hint="eastAsia" w:ascii="仿宋_GB2312" w:hAnsi="仿宋_GB2312" w:cs="仿宋_GB2312"/>
          <w:sz w:val="32"/>
          <w:szCs w:val="32"/>
        </w:rPr>
        <w:t>2技术偏离表</w:t>
      </w:r>
    </w:p>
    <w:p w14:paraId="659DB960">
      <w:pPr>
        <w:ind w:firstLine="440"/>
        <w:jc w:val="left"/>
        <w:rPr>
          <w:rFonts w:hint="eastAsia" w:ascii="仿宋_GB2312" w:hAnsi="仿宋_GB2312" w:cs="仿宋_GB2312"/>
          <w:sz w:val="22"/>
        </w:rPr>
      </w:pPr>
    </w:p>
    <w:p w14:paraId="6EDD95C1">
      <w:pPr>
        <w:ind w:firstLine="440"/>
        <w:jc w:val="left"/>
        <w:rPr>
          <w:rFonts w:hint="eastAsia" w:ascii="仿宋_GB2312" w:hAnsi="仿宋_GB2312" w:cs="仿宋_GB2312"/>
          <w:sz w:val="22"/>
        </w:rPr>
      </w:pPr>
      <w:r>
        <w:rPr>
          <w:rFonts w:hint="eastAsia" w:ascii="仿宋_GB2312" w:hAnsi="仿宋_GB2312" w:cs="仿宋_GB2312"/>
          <w:sz w:val="22"/>
        </w:rPr>
        <w:t>项目名称：</w:t>
      </w:r>
    </w:p>
    <w:p w14:paraId="45C6ECF2">
      <w:pPr>
        <w:ind w:firstLine="440"/>
        <w:jc w:val="left"/>
        <w:rPr>
          <w:rFonts w:hint="eastAsia" w:ascii="仿宋_GB2312" w:hAnsi="仿宋_GB2312" w:cs="仿宋_GB2312"/>
          <w:sz w:val="22"/>
        </w:rPr>
      </w:pPr>
    </w:p>
    <w:p w14:paraId="7B7CE60A">
      <w:pPr>
        <w:autoSpaceDE w:val="0"/>
        <w:autoSpaceDN w:val="0"/>
        <w:ind w:left="525" w:right="-5" w:firstLine="440"/>
        <w:jc w:val="center"/>
        <w:textAlignment w:val="bottom"/>
        <w:rPr>
          <w:rFonts w:hint="eastAsia" w:ascii="仿宋_GB2312" w:hAnsi="仿宋_GB2312" w:cs="仿宋_GB2312"/>
          <w:sz w:val="22"/>
        </w:rPr>
      </w:pPr>
    </w:p>
    <w:tbl>
      <w:tblPr>
        <w:tblStyle w:val="14"/>
        <w:tblW w:w="71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6"/>
        <w:gridCol w:w="2368"/>
        <w:gridCol w:w="2210"/>
        <w:gridCol w:w="1339"/>
        <w:gridCol w:w="746"/>
      </w:tblGrid>
      <w:tr w14:paraId="47E38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96" w:type="dxa"/>
            <w:noWrap/>
            <w:vAlign w:val="center"/>
          </w:tcPr>
          <w:p w14:paraId="0191FD94">
            <w:pPr>
              <w:ind w:firstLine="0" w:firstLineChars="0"/>
              <w:jc w:val="center"/>
              <w:rPr>
                <w:rFonts w:hint="eastAsia" w:ascii="仿宋_GB2312" w:hAnsi="仿宋_GB2312" w:cs="仿宋_GB2312"/>
                <w:sz w:val="22"/>
              </w:rPr>
            </w:pPr>
            <w:r>
              <w:rPr>
                <w:rFonts w:hint="eastAsia" w:ascii="仿宋_GB2312" w:hAnsi="仿宋_GB2312" w:cs="仿宋_GB2312"/>
                <w:sz w:val="22"/>
              </w:rPr>
              <w:t>序号</w:t>
            </w:r>
          </w:p>
        </w:tc>
        <w:tc>
          <w:tcPr>
            <w:tcW w:w="2368" w:type="dxa"/>
            <w:noWrap/>
            <w:vAlign w:val="center"/>
          </w:tcPr>
          <w:p w14:paraId="58B9D8A0">
            <w:pPr>
              <w:ind w:firstLine="0" w:firstLineChars="0"/>
              <w:jc w:val="center"/>
              <w:rPr>
                <w:rFonts w:hint="eastAsia" w:ascii="仿宋_GB2312" w:hAnsi="仿宋_GB2312" w:cs="仿宋_GB2312"/>
                <w:sz w:val="22"/>
              </w:rPr>
            </w:pPr>
            <w:r>
              <w:rPr>
                <w:rFonts w:hint="eastAsia" w:ascii="仿宋_GB2312" w:hAnsi="仿宋_GB2312" w:cs="仿宋_GB2312"/>
                <w:sz w:val="22"/>
              </w:rPr>
              <w:t>采购文件内容</w:t>
            </w:r>
          </w:p>
        </w:tc>
        <w:tc>
          <w:tcPr>
            <w:tcW w:w="2210" w:type="dxa"/>
            <w:noWrap/>
            <w:vAlign w:val="center"/>
          </w:tcPr>
          <w:p w14:paraId="6CB8655D">
            <w:pPr>
              <w:ind w:firstLine="0" w:firstLineChars="0"/>
              <w:jc w:val="center"/>
              <w:rPr>
                <w:rFonts w:hint="eastAsia" w:ascii="仿宋_GB2312" w:hAnsi="仿宋_GB2312" w:cs="仿宋_GB2312"/>
                <w:sz w:val="22"/>
              </w:rPr>
            </w:pPr>
            <w:r>
              <w:rPr>
                <w:rFonts w:hint="eastAsia" w:ascii="仿宋_GB2312" w:hAnsi="仿宋_GB2312" w:cs="仿宋_GB2312"/>
                <w:sz w:val="22"/>
              </w:rPr>
              <w:t>投标文件内容</w:t>
            </w:r>
          </w:p>
        </w:tc>
        <w:tc>
          <w:tcPr>
            <w:tcW w:w="1339" w:type="dxa"/>
            <w:noWrap/>
            <w:vAlign w:val="center"/>
          </w:tcPr>
          <w:p w14:paraId="79159406">
            <w:pPr>
              <w:ind w:firstLine="0" w:firstLineChars="0"/>
              <w:jc w:val="center"/>
              <w:rPr>
                <w:rFonts w:hint="eastAsia" w:ascii="仿宋_GB2312" w:hAnsi="仿宋_GB2312" w:cs="仿宋_GB2312"/>
                <w:sz w:val="22"/>
              </w:rPr>
            </w:pPr>
            <w:r>
              <w:rPr>
                <w:rFonts w:hint="eastAsia" w:ascii="仿宋_GB2312" w:hAnsi="仿宋_GB2312" w:cs="仿宋_GB2312"/>
                <w:sz w:val="22"/>
              </w:rPr>
              <w:t>偏离情况</w:t>
            </w:r>
          </w:p>
        </w:tc>
        <w:tc>
          <w:tcPr>
            <w:tcW w:w="746" w:type="dxa"/>
            <w:noWrap/>
            <w:vAlign w:val="center"/>
          </w:tcPr>
          <w:p w14:paraId="4BDC921B">
            <w:pPr>
              <w:ind w:firstLine="0" w:firstLineChars="0"/>
              <w:jc w:val="center"/>
              <w:rPr>
                <w:rFonts w:hint="eastAsia" w:ascii="仿宋_GB2312" w:hAnsi="仿宋_GB2312" w:cs="仿宋_GB2312"/>
                <w:sz w:val="22"/>
              </w:rPr>
            </w:pPr>
            <w:r>
              <w:rPr>
                <w:rFonts w:hint="eastAsia" w:ascii="仿宋_GB2312" w:hAnsi="仿宋_GB2312" w:cs="仿宋_GB2312"/>
                <w:sz w:val="22"/>
              </w:rPr>
              <w:t>对应</w:t>
            </w:r>
          </w:p>
          <w:p w14:paraId="67DDED3F">
            <w:pPr>
              <w:ind w:firstLine="0" w:firstLineChars="0"/>
              <w:jc w:val="center"/>
              <w:rPr>
                <w:rFonts w:hint="eastAsia" w:ascii="仿宋_GB2312" w:hAnsi="仿宋_GB2312" w:cs="仿宋_GB2312"/>
                <w:sz w:val="22"/>
              </w:rPr>
            </w:pPr>
            <w:r>
              <w:rPr>
                <w:rFonts w:hint="eastAsia" w:ascii="仿宋_GB2312" w:hAnsi="仿宋_GB2312" w:cs="仿宋_GB2312"/>
                <w:sz w:val="22"/>
              </w:rPr>
              <w:t>页码</w:t>
            </w:r>
          </w:p>
        </w:tc>
      </w:tr>
      <w:tr w14:paraId="63237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496" w:type="dxa"/>
            <w:noWrap/>
          </w:tcPr>
          <w:p w14:paraId="7F1007B4">
            <w:pPr>
              <w:ind w:firstLine="0" w:firstLineChars="0"/>
              <w:jc w:val="center"/>
              <w:rPr>
                <w:rFonts w:hint="eastAsia" w:ascii="仿宋_GB2312" w:hAnsi="仿宋_GB2312" w:cs="仿宋_GB2312"/>
                <w:sz w:val="22"/>
              </w:rPr>
            </w:pPr>
          </w:p>
        </w:tc>
        <w:tc>
          <w:tcPr>
            <w:tcW w:w="2368" w:type="dxa"/>
            <w:noWrap/>
          </w:tcPr>
          <w:p w14:paraId="2504935B">
            <w:pPr>
              <w:ind w:firstLine="0" w:firstLineChars="0"/>
              <w:jc w:val="center"/>
              <w:rPr>
                <w:rFonts w:hint="eastAsia" w:ascii="仿宋_GB2312" w:hAnsi="仿宋_GB2312" w:cs="仿宋_GB2312"/>
                <w:sz w:val="22"/>
              </w:rPr>
            </w:pPr>
          </w:p>
        </w:tc>
        <w:tc>
          <w:tcPr>
            <w:tcW w:w="2210" w:type="dxa"/>
            <w:noWrap/>
          </w:tcPr>
          <w:p w14:paraId="3B95D36A">
            <w:pPr>
              <w:ind w:firstLine="0" w:firstLineChars="0"/>
              <w:jc w:val="center"/>
              <w:rPr>
                <w:rFonts w:hint="eastAsia" w:ascii="仿宋_GB2312" w:hAnsi="仿宋_GB2312" w:cs="仿宋_GB2312"/>
                <w:sz w:val="22"/>
              </w:rPr>
            </w:pPr>
          </w:p>
        </w:tc>
        <w:tc>
          <w:tcPr>
            <w:tcW w:w="1339" w:type="dxa"/>
            <w:noWrap/>
          </w:tcPr>
          <w:p w14:paraId="7DDC5CAD">
            <w:pPr>
              <w:ind w:firstLine="0" w:firstLineChars="0"/>
              <w:jc w:val="center"/>
              <w:rPr>
                <w:rFonts w:hint="eastAsia" w:ascii="仿宋_GB2312" w:hAnsi="仿宋_GB2312" w:cs="仿宋_GB2312"/>
                <w:sz w:val="22"/>
              </w:rPr>
            </w:pPr>
          </w:p>
        </w:tc>
        <w:tc>
          <w:tcPr>
            <w:tcW w:w="746" w:type="dxa"/>
            <w:noWrap/>
          </w:tcPr>
          <w:p w14:paraId="09DC4A84">
            <w:pPr>
              <w:ind w:firstLine="0" w:firstLineChars="0"/>
              <w:jc w:val="center"/>
              <w:rPr>
                <w:rFonts w:hint="eastAsia" w:ascii="仿宋_GB2312" w:hAnsi="仿宋_GB2312" w:cs="仿宋_GB2312"/>
                <w:sz w:val="22"/>
              </w:rPr>
            </w:pPr>
          </w:p>
        </w:tc>
      </w:tr>
      <w:tr w14:paraId="5D323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496" w:type="dxa"/>
            <w:noWrap/>
          </w:tcPr>
          <w:p w14:paraId="61EEB229">
            <w:pPr>
              <w:ind w:firstLine="0" w:firstLineChars="0"/>
              <w:jc w:val="center"/>
              <w:rPr>
                <w:rFonts w:hint="eastAsia" w:ascii="仿宋_GB2312" w:hAnsi="仿宋_GB2312" w:cs="仿宋_GB2312"/>
                <w:sz w:val="22"/>
              </w:rPr>
            </w:pPr>
          </w:p>
        </w:tc>
        <w:tc>
          <w:tcPr>
            <w:tcW w:w="2368" w:type="dxa"/>
            <w:noWrap/>
          </w:tcPr>
          <w:p w14:paraId="1D35C369">
            <w:pPr>
              <w:ind w:firstLine="0" w:firstLineChars="0"/>
              <w:jc w:val="center"/>
              <w:rPr>
                <w:rFonts w:hint="eastAsia" w:ascii="仿宋_GB2312" w:hAnsi="仿宋_GB2312" w:cs="仿宋_GB2312"/>
                <w:sz w:val="22"/>
              </w:rPr>
            </w:pPr>
          </w:p>
        </w:tc>
        <w:tc>
          <w:tcPr>
            <w:tcW w:w="2210" w:type="dxa"/>
            <w:noWrap/>
          </w:tcPr>
          <w:p w14:paraId="329657EE">
            <w:pPr>
              <w:ind w:firstLine="0" w:firstLineChars="0"/>
              <w:jc w:val="center"/>
              <w:rPr>
                <w:rFonts w:hint="eastAsia" w:ascii="仿宋_GB2312" w:hAnsi="仿宋_GB2312" w:cs="仿宋_GB2312"/>
                <w:sz w:val="22"/>
              </w:rPr>
            </w:pPr>
          </w:p>
        </w:tc>
        <w:tc>
          <w:tcPr>
            <w:tcW w:w="1339" w:type="dxa"/>
            <w:noWrap/>
          </w:tcPr>
          <w:p w14:paraId="4CB8158F">
            <w:pPr>
              <w:ind w:firstLine="0" w:firstLineChars="0"/>
              <w:jc w:val="center"/>
              <w:rPr>
                <w:rFonts w:hint="eastAsia" w:ascii="仿宋_GB2312" w:hAnsi="仿宋_GB2312" w:cs="仿宋_GB2312"/>
                <w:sz w:val="22"/>
              </w:rPr>
            </w:pPr>
          </w:p>
        </w:tc>
        <w:tc>
          <w:tcPr>
            <w:tcW w:w="746" w:type="dxa"/>
            <w:noWrap/>
          </w:tcPr>
          <w:p w14:paraId="4D1FEF75">
            <w:pPr>
              <w:ind w:firstLine="0" w:firstLineChars="0"/>
              <w:jc w:val="center"/>
              <w:rPr>
                <w:rFonts w:hint="eastAsia" w:ascii="仿宋_GB2312" w:hAnsi="仿宋_GB2312" w:cs="仿宋_GB2312"/>
                <w:sz w:val="22"/>
              </w:rPr>
            </w:pPr>
          </w:p>
        </w:tc>
      </w:tr>
      <w:tr w14:paraId="5DD7B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496" w:type="dxa"/>
            <w:noWrap/>
          </w:tcPr>
          <w:p w14:paraId="69F045BE">
            <w:pPr>
              <w:ind w:firstLine="0" w:firstLineChars="0"/>
              <w:jc w:val="center"/>
              <w:rPr>
                <w:rFonts w:hint="eastAsia" w:ascii="仿宋_GB2312" w:hAnsi="仿宋_GB2312" w:cs="仿宋_GB2312"/>
                <w:sz w:val="22"/>
              </w:rPr>
            </w:pPr>
          </w:p>
        </w:tc>
        <w:tc>
          <w:tcPr>
            <w:tcW w:w="2368" w:type="dxa"/>
            <w:noWrap/>
          </w:tcPr>
          <w:p w14:paraId="41B07998">
            <w:pPr>
              <w:ind w:firstLine="0" w:firstLineChars="0"/>
              <w:jc w:val="center"/>
              <w:rPr>
                <w:rFonts w:hint="eastAsia" w:ascii="仿宋_GB2312" w:hAnsi="仿宋_GB2312" w:cs="仿宋_GB2312"/>
                <w:sz w:val="22"/>
              </w:rPr>
            </w:pPr>
          </w:p>
        </w:tc>
        <w:tc>
          <w:tcPr>
            <w:tcW w:w="2210" w:type="dxa"/>
            <w:noWrap/>
          </w:tcPr>
          <w:p w14:paraId="2A358174">
            <w:pPr>
              <w:ind w:firstLine="0" w:firstLineChars="0"/>
              <w:jc w:val="center"/>
              <w:rPr>
                <w:rFonts w:hint="eastAsia" w:ascii="仿宋_GB2312" w:hAnsi="仿宋_GB2312" w:cs="仿宋_GB2312"/>
                <w:sz w:val="22"/>
              </w:rPr>
            </w:pPr>
          </w:p>
        </w:tc>
        <w:tc>
          <w:tcPr>
            <w:tcW w:w="1339" w:type="dxa"/>
            <w:noWrap/>
          </w:tcPr>
          <w:p w14:paraId="61B412AF">
            <w:pPr>
              <w:ind w:firstLine="0" w:firstLineChars="0"/>
              <w:jc w:val="center"/>
              <w:rPr>
                <w:rFonts w:hint="eastAsia" w:ascii="仿宋_GB2312" w:hAnsi="仿宋_GB2312" w:cs="仿宋_GB2312"/>
                <w:sz w:val="22"/>
              </w:rPr>
            </w:pPr>
          </w:p>
        </w:tc>
        <w:tc>
          <w:tcPr>
            <w:tcW w:w="746" w:type="dxa"/>
            <w:noWrap/>
          </w:tcPr>
          <w:p w14:paraId="543DB1B8">
            <w:pPr>
              <w:ind w:firstLine="0" w:firstLineChars="0"/>
              <w:jc w:val="center"/>
              <w:rPr>
                <w:rFonts w:hint="eastAsia" w:ascii="仿宋_GB2312" w:hAnsi="仿宋_GB2312" w:cs="仿宋_GB2312"/>
                <w:sz w:val="22"/>
              </w:rPr>
            </w:pPr>
          </w:p>
        </w:tc>
      </w:tr>
      <w:tr w14:paraId="6B29D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496" w:type="dxa"/>
            <w:noWrap/>
          </w:tcPr>
          <w:p w14:paraId="380C7F79">
            <w:pPr>
              <w:ind w:firstLine="0" w:firstLineChars="0"/>
              <w:jc w:val="center"/>
              <w:rPr>
                <w:rFonts w:hint="eastAsia" w:ascii="仿宋_GB2312" w:hAnsi="仿宋_GB2312" w:cs="仿宋_GB2312"/>
                <w:sz w:val="22"/>
              </w:rPr>
            </w:pPr>
          </w:p>
        </w:tc>
        <w:tc>
          <w:tcPr>
            <w:tcW w:w="2368" w:type="dxa"/>
            <w:noWrap/>
          </w:tcPr>
          <w:p w14:paraId="5283059F">
            <w:pPr>
              <w:ind w:firstLine="0" w:firstLineChars="0"/>
              <w:jc w:val="center"/>
              <w:rPr>
                <w:rFonts w:hint="eastAsia" w:ascii="仿宋_GB2312" w:hAnsi="仿宋_GB2312" w:cs="仿宋_GB2312"/>
                <w:sz w:val="22"/>
              </w:rPr>
            </w:pPr>
          </w:p>
        </w:tc>
        <w:tc>
          <w:tcPr>
            <w:tcW w:w="2210" w:type="dxa"/>
            <w:noWrap/>
          </w:tcPr>
          <w:p w14:paraId="077B753D">
            <w:pPr>
              <w:ind w:firstLine="0" w:firstLineChars="0"/>
              <w:jc w:val="center"/>
              <w:rPr>
                <w:rFonts w:hint="eastAsia" w:ascii="仿宋_GB2312" w:hAnsi="仿宋_GB2312" w:cs="仿宋_GB2312"/>
                <w:sz w:val="22"/>
              </w:rPr>
            </w:pPr>
          </w:p>
        </w:tc>
        <w:tc>
          <w:tcPr>
            <w:tcW w:w="1339" w:type="dxa"/>
            <w:noWrap/>
          </w:tcPr>
          <w:p w14:paraId="264D5BC9">
            <w:pPr>
              <w:ind w:firstLine="0" w:firstLineChars="0"/>
              <w:jc w:val="center"/>
              <w:rPr>
                <w:rFonts w:hint="eastAsia" w:ascii="仿宋_GB2312" w:hAnsi="仿宋_GB2312" w:cs="仿宋_GB2312"/>
                <w:sz w:val="22"/>
              </w:rPr>
            </w:pPr>
          </w:p>
        </w:tc>
        <w:tc>
          <w:tcPr>
            <w:tcW w:w="746" w:type="dxa"/>
            <w:noWrap/>
          </w:tcPr>
          <w:p w14:paraId="00C6F176">
            <w:pPr>
              <w:ind w:firstLine="0" w:firstLineChars="0"/>
              <w:jc w:val="center"/>
              <w:rPr>
                <w:rFonts w:hint="eastAsia" w:ascii="仿宋_GB2312" w:hAnsi="仿宋_GB2312" w:cs="仿宋_GB2312"/>
                <w:sz w:val="22"/>
              </w:rPr>
            </w:pPr>
          </w:p>
        </w:tc>
      </w:tr>
      <w:tr w14:paraId="51234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96" w:type="dxa"/>
            <w:noWrap/>
          </w:tcPr>
          <w:p w14:paraId="3FCD774D">
            <w:pPr>
              <w:ind w:firstLine="0" w:firstLineChars="0"/>
              <w:jc w:val="center"/>
              <w:rPr>
                <w:rFonts w:hint="eastAsia" w:ascii="仿宋_GB2312" w:hAnsi="仿宋_GB2312" w:cs="仿宋_GB2312"/>
                <w:sz w:val="22"/>
              </w:rPr>
            </w:pPr>
          </w:p>
        </w:tc>
        <w:tc>
          <w:tcPr>
            <w:tcW w:w="2368" w:type="dxa"/>
            <w:noWrap/>
          </w:tcPr>
          <w:p w14:paraId="4866A1CF">
            <w:pPr>
              <w:ind w:firstLine="0" w:firstLineChars="0"/>
              <w:jc w:val="center"/>
              <w:rPr>
                <w:rFonts w:hint="eastAsia" w:ascii="仿宋_GB2312" w:hAnsi="仿宋_GB2312" w:cs="仿宋_GB2312"/>
                <w:sz w:val="22"/>
              </w:rPr>
            </w:pPr>
          </w:p>
        </w:tc>
        <w:tc>
          <w:tcPr>
            <w:tcW w:w="2210" w:type="dxa"/>
            <w:noWrap/>
          </w:tcPr>
          <w:p w14:paraId="245A5E10">
            <w:pPr>
              <w:ind w:firstLine="0" w:firstLineChars="0"/>
              <w:jc w:val="center"/>
              <w:rPr>
                <w:rFonts w:hint="eastAsia" w:ascii="仿宋_GB2312" w:hAnsi="仿宋_GB2312" w:cs="仿宋_GB2312"/>
                <w:sz w:val="22"/>
              </w:rPr>
            </w:pPr>
          </w:p>
        </w:tc>
        <w:tc>
          <w:tcPr>
            <w:tcW w:w="1339" w:type="dxa"/>
            <w:noWrap/>
          </w:tcPr>
          <w:p w14:paraId="39D759D0">
            <w:pPr>
              <w:ind w:firstLine="0" w:firstLineChars="0"/>
              <w:jc w:val="center"/>
              <w:rPr>
                <w:rFonts w:hint="eastAsia" w:ascii="仿宋_GB2312" w:hAnsi="仿宋_GB2312" w:cs="仿宋_GB2312"/>
                <w:sz w:val="22"/>
              </w:rPr>
            </w:pPr>
          </w:p>
        </w:tc>
        <w:tc>
          <w:tcPr>
            <w:tcW w:w="746" w:type="dxa"/>
            <w:noWrap/>
          </w:tcPr>
          <w:p w14:paraId="159D5DC7">
            <w:pPr>
              <w:ind w:firstLine="0" w:firstLineChars="0"/>
              <w:jc w:val="center"/>
              <w:rPr>
                <w:rFonts w:hint="eastAsia" w:ascii="仿宋_GB2312" w:hAnsi="仿宋_GB2312" w:cs="仿宋_GB2312"/>
                <w:sz w:val="22"/>
              </w:rPr>
            </w:pPr>
          </w:p>
        </w:tc>
      </w:tr>
      <w:tr w14:paraId="12FFC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96" w:type="dxa"/>
            <w:noWrap/>
          </w:tcPr>
          <w:p w14:paraId="52582FD3">
            <w:pPr>
              <w:ind w:firstLine="0" w:firstLineChars="0"/>
              <w:jc w:val="center"/>
              <w:rPr>
                <w:rFonts w:hint="eastAsia" w:ascii="仿宋_GB2312" w:hAnsi="仿宋_GB2312" w:cs="仿宋_GB2312"/>
                <w:sz w:val="22"/>
              </w:rPr>
            </w:pPr>
          </w:p>
        </w:tc>
        <w:tc>
          <w:tcPr>
            <w:tcW w:w="2368" w:type="dxa"/>
            <w:noWrap/>
          </w:tcPr>
          <w:p w14:paraId="1C2F90BD">
            <w:pPr>
              <w:ind w:firstLine="0" w:firstLineChars="0"/>
              <w:jc w:val="center"/>
              <w:rPr>
                <w:rFonts w:hint="eastAsia" w:ascii="仿宋_GB2312" w:hAnsi="仿宋_GB2312" w:cs="仿宋_GB2312"/>
                <w:sz w:val="22"/>
              </w:rPr>
            </w:pPr>
          </w:p>
        </w:tc>
        <w:tc>
          <w:tcPr>
            <w:tcW w:w="2210" w:type="dxa"/>
            <w:noWrap/>
          </w:tcPr>
          <w:p w14:paraId="67D06964">
            <w:pPr>
              <w:ind w:firstLine="0" w:firstLineChars="0"/>
              <w:jc w:val="center"/>
              <w:rPr>
                <w:rFonts w:hint="eastAsia" w:ascii="仿宋_GB2312" w:hAnsi="仿宋_GB2312" w:cs="仿宋_GB2312"/>
                <w:sz w:val="22"/>
              </w:rPr>
            </w:pPr>
          </w:p>
        </w:tc>
        <w:tc>
          <w:tcPr>
            <w:tcW w:w="1339" w:type="dxa"/>
            <w:noWrap/>
          </w:tcPr>
          <w:p w14:paraId="41680D26">
            <w:pPr>
              <w:ind w:firstLine="0" w:firstLineChars="0"/>
              <w:jc w:val="center"/>
              <w:rPr>
                <w:rFonts w:hint="eastAsia" w:ascii="仿宋_GB2312" w:hAnsi="仿宋_GB2312" w:cs="仿宋_GB2312"/>
                <w:sz w:val="22"/>
              </w:rPr>
            </w:pPr>
          </w:p>
        </w:tc>
        <w:tc>
          <w:tcPr>
            <w:tcW w:w="746" w:type="dxa"/>
            <w:noWrap/>
          </w:tcPr>
          <w:p w14:paraId="4FCD5341">
            <w:pPr>
              <w:ind w:firstLine="0" w:firstLineChars="0"/>
              <w:jc w:val="center"/>
              <w:rPr>
                <w:rFonts w:hint="eastAsia" w:ascii="仿宋_GB2312" w:hAnsi="仿宋_GB2312" w:cs="仿宋_GB2312"/>
                <w:sz w:val="22"/>
              </w:rPr>
            </w:pPr>
          </w:p>
        </w:tc>
      </w:tr>
    </w:tbl>
    <w:p w14:paraId="796AEC1A">
      <w:pPr>
        <w:ind w:firstLine="440"/>
        <w:rPr>
          <w:rFonts w:hint="eastAsia" w:ascii="仿宋_GB2312" w:hAnsi="仿宋_GB2312" w:cs="仿宋_GB2312"/>
          <w:sz w:val="22"/>
        </w:rPr>
      </w:pPr>
    </w:p>
    <w:p w14:paraId="15F0925D">
      <w:pPr>
        <w:ind w:firstLine="440"/>
        <w:rPr>
          <w:rFonts w:hint="eastAsia" w:ascii="仿宋_GB2312" w:hAnsi="仿宋_GB2312" w:cs="仿宋_GB2312"/>
          <w:bCs/>
          <w:sz w:val="22"/>
        </w:rPr>
      </w:pPr>
      <w:r>
        <w:rPr>
          <w:rFonts w:hint="eastAsia" w:ascii="仿宋_GB2312" w:hAnsi="仿宋_GB2312" w:cs="仿宋_GB2312"/>
          <w:bCs/>
          <w:sz w:val="22"/>
        </w:rPr>
        <w:t>注：</w:t>
      </w:r>
    </w:p>
    <w:p w14:paraId="492BC96F">
      <w:pPr>
        <w:autoSpaceDE w:val="0"/>
        <w:autoSpaceDN w:val="0"/>
        <w:ind w:right="-5" w:firstLine="440"/>
        <w:textAlignment w:val="bottom"/>
        <w:rPr>
          <w:rFonts w:hint="eastAsia" w:ascii="仿宋_GB2312" w:hAnsi="仿宋_GB2312" w:cs="仿宋_GB2312"/>
          <w:sz w:val="22"/>
        </w:rPr>
      </w:pPr>
      <w:r>
        <w:rPr>
          <w:rFonts w:hint="eastAsia" w:ascii="仿宋_GB2312" w:hAnsi="仿宋_GB2312" w:cs="仿宋_GB2312"/>
          <w:bCs/>
          <w:sz w:val="22"/>
        </w:rPr>
        <w:t>1</w:t>
      </w:r>
      <w:r>
        <w:rPr>
          <w:rFonts w:hint="eastAsia" w:ascii="仿宋_GB2312" w:hAnsi="仿宋_GB2312" w:cs="仿宋_GB2312"/>
          <w:sz w:val="22"/>
        </w:rPr>
        <w:t>.“投标文件内容”和“正/负偏离说明”需附详细说明及技术资料，并注明投标文件中对应的页码范围。</w:t>
      </w:r>
    </w:p>
    <w:p w14:paraId="2FDB8463">
      <w:pPr>
        <w:ind w:firstLine="440"/>
        <w:rPr>
          <w:rFonts w:hint="eastAsia" w:ascii="仿宋_GB2312" w:hAnsi="仿宋_GB2312" w:cs="仿宋_GB2312"/>
          <w:bCs/>
          <w:sz w:val="22"/>
        </w:rPr>
      </w:pPr>
      <w:r>
        <w:rPr>
          <w:rFonts w:hint="eastAsia" w:ascii="仿宋_GB2312" w:hAnsi="仿宋_GB2312" w:cs="仿宋_GB2312"/>
          <w:bCs/>
          <w:sz w:val="22"/>
        </w:rPr>
        <w:t>2.如无偏离可以“无偏离”等字样来响应。</w:t>
      </w:r>
    </w:p>
    <w:p w14:paraId="1372945F">
      <w:pPr>
        <w:pStyle w:val="13"/>
        <w:ind w:firstLine="440"/>
        <w:rPr>
          <w:rFonts w:hint="eastAsia" w:ascii="仿宋_GB2312" w:hAnsi="仿宋_GB2312" w:cs="仿宋_GB2312"/>
          <w:sz w:val="22"/>
        </w:rPr>
      </w:pPr>
    </w:p>
    <w:p w14:paraId="2DB2C226">
      <w:pPr>
        <w:ind w:firstLine="440"/>
        <w:rPr>
          <w:rFonts w:hint="eastAsia" w:ascii="仿宋_GB2312" w:hAnsi="仿宋_GB2312" w:cs="仿宋_GB2312"/>
          <w:sz w:val="22"/>
        </w:rPr>
      </w:pPr>
    </w:p>
    <w:p w14:paraId="3DCF0A24">
      <w:pPr>
        <w:ind w:firstLine="440"/>
        <w:rPr>
          <w:rFonts w:hint="eastAsia" w:ascii="仿宋_GB2312" w:hAnsi="仿宋_GB2312" w:cs="仿宋_GB2312"/>
          <w:sz w:val="22"/>
        </w:rPr>
      </w:pPr>
      <w:r>
        <w:rPr>
          <w:rFonts w:hint="eastAsia" w:ascii="仿宋_GB2312" w:hAnsi="仿宋_GB2312" w:cs="仿宋_GB2312"/>
          <w:sz w:val="22"/>
        </w:rPr>
        <w:t>投标人名称名称（加盖公章）：</w:t>
      </w:r>
    </w:p>
    <w:p w14:paraId="4AC4D4DA">
      <w:pPr>
        <w:ind w:firstLine="440"/>
        <w:rPr>
          <w:rFonts w:hint="eastAsia" w:ascii="仿宋_GB2312" w:hAnsi="仿宋_GB2312" w:cs="仿宋_GB2312"/>
          <w:sz w:val="22"/>
        </w:rPr>
      </w:pPr>
      <w:r>
        <w:rPr>
          <w:rFonts w:hint="eastAsia" w:ascii="仿宋_GB2312" w:hAnsi="仿宋_GB2312" w:cs="仿宋_GB2312"/>
          <w:sz w:val="22"/>
        </w:rPr>
        <w:t>法定代表人或委托代理人签字：</w:t>
      </w:r>
    </w:p>
    <w:p w14:paraId="7C269DDC">
      <w:pPr>
        <w:ind w:firstLine="440"/>
        <w:rPr>
          <w:rFonts w:hint="eastAsia" w:ascii="仿宋_GB2312" w:hAnsi="仿宋_GB2312" w:cs="仿宋_GB2312"/>
          <w:sz w:val="22"/>
        </w:rPr>
      </w:pPr>
      <w:r>
        <w:rPr>
          <w:rFonts w:hint="eastAsia" w:ascii="仿宋_GB2312" w:hAnsi="仿宋_GB2312" w:cs="仿宋_GB2312"/>
          <w:sz w:val="22"/>
        </w:rPr>
        <w:t>日期：</w:t>
      </w:r>
    </w:p>
    <w:p w14:paraId="70830BFC">
      <w:pPr>
        <w:ind w:firstLine="440"/>
        <w:rPr>
          <w:rFonts w:hint="eastAsia" w:ascii="仿宋_GB2312" w:hAnsi="仿宋_GB2312" w:cs="仿宋_GB2312"/>
          <w:sz w:val="22"/>
        </w:rPr>
      </w:pPr>
    </w:p>
    <w:p w14:paraId="6E6FC78B">
      <w:pPr>
        <w:ind w:firstLine="440"/>
        <w:rPr>
          <w:rFonts w:hint="eastAsia" w:ascii="仿宋_GB2312" w:hAnsi="仿宋_GB2312" w:cs="仿宋_GB2312"/>
          <w:sz w:val="22"/>
        </w:rPr>
      </w:pPr>
    </w:p>
    <w:p w14:paraId="51470938">
      <w:pPr>
        <w:ind w:firstLine="440"/>
        <w:rPr>
          <w:rFonts w:hint="eastAsia" w:ascii="仿宋_GB2312" w:hAnsi="仿宋_GB2312" w:cs="仿宋_GB2312"/>
          <w:sz w:val="22"/>
        </w:rPr>
      </w:pPr>
    </w:p>
    <w:p w14:paraId="2D398E93">
      <w:pPr>
        <w:ind w:firstLine="440"/>
        <w:rPr>
          <w:rFonts w:hint="eastAsia" w:ascii="仿宋_GB2312" w:hAnsi="仿宋_GB2312" w:cs="仿宋_GB2312"/>
          <w:sz w:val="22"/>
        </w:rPr>
      </w:pPr>
    </w:p>
    <w:p w14:paraId="141F6017">
      <w:pPr>
        <w:ind w:firstLine="440"/>
        <w:rPr>
          <w:rFonts w:hint="eastAsia" w:ascii="仿宋_GB2312" w:hAnsi="仿宋_GB2312" w:cs="仿宋_GB2312"/>
          <w:sz w:val="22"/>
        </w:rPr>
      </w:pPr>
    </w:p>
    <w:p w14:paraId="12B61F29">
      <w:pPr>
        <w:ind w:firstLine="440"/>
        <w:rPr>
          <w:rFonts w:hint="eastAsia" w:ascii="仿宋_GB2312" w:hAnsi="仿宋_GB2312" w:cs="仿宋_GB2312"/>
          <w:sz w:val="22"/>
        </w:rPr>
      </w:pPr>
    </w:p>
    <w:p w14:paraId="6FD62256">
      <w:pPr>
        <w:autoSpaceDE w:val="0"/>
        <w:autoSpaceDN w:val="0"/>
        <w:ind w:right="-5" w:firstLine="640"/>
        <w:jc w:val="center"/>
        <w:textAlignment w:val="bottom"/>
        <w:rPr>
          <w:rFonts w:hint="eastAsia" w:ascii="仿宋_GB2312" w:hAnsi="仿宋_GB2312" w:cs="仿宋_GB2312"/>
          <w:sz w:val="32"/>
          <w:szCs w:val="32"/>
        </w:rPr>
      </w:pPr>
      <w:r>
        <w:rPr>
          <w:rFonts w:hint="eastAsia" w:ascii="仿宋_GB2312" w:hAnsi="仿宋_GB2312" w:cs="仿宋_GB2312"/>
          <w:sz w:val="32"/>
          <w:szCs w:val="32"/>
        </w:rPr>
        <w:t>3.商务偏离表</w:t>
      </w:r>
    </w:p>
    <w:p w14:paraId="04F03129">
      <w:pPr>
        <w:ind w:firstLine="440"/>
        <w:jc w:val="left"/>
        <w:rPr>
          <w:rFonts w:hint="eastAsia" w:ascii="仿宋_GB2312" w:hAnsi="仿宋_GB2312" w:cs="仿宋_GB2312"/>
          <w:sz w:val="22"/>
        </w:rPr>
      </w:pPr>
      <w:r>
        <w:rPr>
          <w:rFonts w:hint="eastAsia" w:ascii="仿宋_GB2312" w:hAnsi="仿宋_GB2312" w:cs="仿宋_GB2312"/>
          <w:sz w:val="22"/>
        </w:rPr>
        <w:t>项目名称：</w:t>
      </w:r>
    </w:p>
    <w:p w14:paraId="0D9AA560">
      <w:pPr>
        <w:ind w:firstLine="440"/>
        <w:jc w:val="left"/>
        <w:rPr>
          <w:rFonts w:hint="eastAsia" w:ascii="仿宋_GB2312" w:hAnsi="仿宋_GB2312" w:cs="仿宋_GB2312"/>
          <w:sz w:val="22"/>
        </w:rPr>
      </w:pPr>
      <w:r>
        <w:rPr>
          <w:rFonts w:hint="eastAsia" w:ascii="仿宋_GB2312" w:hAnsi="仿宋_GB2312" w:cs="仿宋_GB2312"/>
          <w:sz w:val="22"/>
        </w:rPr>
        <w:t>项目编号：</w:t>
      </w:r>
    </w:p>
    <w:p w14:paraId="00C6FF30">
      <w:pPr>
        <w:autoSpaceDE w:val="0"/>
        <w:autoSpaceDN w:val="0"/>
        <w:ind w:left="525" w:right="-5" w:firstLine="440"/>
        <w:jc w:val="center"/>
        <w:textAlignment w:val="bottom"/>
        <w:rPr>
          <w:rFonts w:hint="eastAsia" w:ascii="仿宋_GB2312" w:hAnsi="仿宋_GB2312" w:cs="仿宋_GB2312"/>
          <w:sz w:val="22"/>
        </w:rPr>
      </w:pPr>
    </w:p>
    <w:tbl>
      <w:tblPr>
        <w:tblStyle w:val="14"/>
        <w:tblW w:w="71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
        <w:gridCol w:w="2377"/>
        <w:gridCol w:w="2218"/>
        <w:gridCol w:w="1344"/>
        <w:gridCol w:w="749"/>
      </w:tblGrid>
      <w:tr w14:paraId="739D7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498" w:type="dxa"/>
            <w:noWrap/>
            <w:vAlign w:val="center"/>
          </w:tcPr>
          <w:p w14:paraId="6D388776">
            <w:pPr>
              <w:ind w:firstLine="0" w:firstLineChars="0"/>
              <w:jc w:val="center"/>
              <w:rPr>
                <w:rFonts w:hint="eastAsia" w:ascii="仿宋_GB2312" w:hAnsi="仿宋_GB2312" w:cs="仿宋_GB2312"/>
                <w:sz w:val="22"/>
              </w:rPr>
            </w:pPr>
            <w:r>
              <w:rPr>
                <w:rFonts w:hint="eastAsia" w:ascii="仿宋_GB2312" w:hAnsi="仿宋_GB2312" w:cs="仿宋_GB2312"/>
                <w:sz w:val="22"/>
              </w:rPr>
              <w:t>序号</w:t>
            </w:r>
          </w:p>
        </w:tc>
        <w:tc>
          <w:tcPr>
            <w:tcW w:w="2377" w:type="dxa"/>
            <w:noWrap/>
            <w:vAlign w:val="center"/>
          </w:tcPr>
          <w:p w14:paraId="2CB1AE75">
            <w:pPr>
              <w:ind w:firstLine="0" w:firstLineChars="0"/>
              <w:jc w:val="center"/>
              <w:rPr>
                <w:rFonts w:hint="eastAsia" w:ascii="仿宋_GB2312" w:hAnsi="仿宋_GB2312" w:cs="仿宋_GB2312"/>
                <w:sz w:val="22"/>
              </w:rPr>
            </w:pPr>
            <w:r>
              <w:rPr>
                <w:rFonts w:hint="eastAsia" w:ascii="仿宋_GB2312" w:hAnsi="仿宋_GB2312" w:cs="仿宋_GB2312"/>
                <w:sz w:val="22"/>
              </w:rPr>
              <w:t>采购文件内容</w:t>
            </w:r>
          </w:p>
        </w:tc>
        <w:tc>
          <w:tcPr>
            <w:tcW w:w="2218" w:type="dxa"/>
            <w:noWrap/>
            <w:vAlign w:val="center"/>
          </w:tcPr>
          <w:p w14:paraId="377E95CC">
            <w:pPr>
              <w:ind w:firstLine="0" w:firstLineChars="0"/>
              <w:jc w:val="center"/>
              <w:rPr>
                <w:rFonts w:hint="eastAsia" w:ascii="仿宋_GB2312" w:hAnsi="仿宋_GB2312" w:cs="仿宋_GB2312"/>
                <w:sz w:val="22"/>
              </w:rPr>
            </w:pPr>
            <w:r>
              <w:rPr>
                <w:rFonts w:hint="eastAsia" w:ascii="仿宋_GB2312" w:hAnsi="仿宋_GB2312" w:cs="仿宋_GB2312"/>
                <w:sz w:val="22"/>
              </w:rPr>
              <w:t>投标文件内容</w:t>
            </w:r>
          </w:p>
        </w:tc>
        <w:tc>
          <w:tcPr>
            <w:tcW w:w="1344" w:type="dxa"/>
            <w:noWrap/>
            <w:vAlign w:val="center"/>
          </w:tcPr>
          <w:p w14:paraId="0E457E0B">
            <w:pPr>
              <w:ind w:firstLine="0" w:firstLineChars="0"/>
              <w:jc w:val="center"/>
              <w:rPr>
                <w:rFonts w:hint="eastAsia" w:ascii="仿宋_GB2312" w:hAnsi="仿宋_GB2312" w:cs="仿宋_GB2312"/>
                <w:sz w:val="22"/>
              </w:rPr>
            </w:pPr>
            <w:r>
              <w:rPr>
                <w:rFonts w:hint="eastAsia" w:ascii="仿宋_GB2312" w:hAnsi="仿宋_GB2312" w:cs="仿宋_GB2312"/>
                <w:sz w:val="22"/>
              </w:rPr>
              <w:t>偏离情况</w:t>
            </w:r>
          </w:p>
        </w:tc>
        <w:tc>
          <w:tcPr>
            <w:tcW w:w="749" w:type="dxa"/>
            <w:noWrap/>
            <w:vAlign w:val="center"/>
          </w:tcPr>
          <w:p w14:paraId="1B0111B0">
            <w:pPr>
              <w:ind w:firstLine="0" w:firstLineChars="0"/>
              <w:jc w:val="center"/>
              <w:rPr>
                <w:rFonts w:hint="eastAsia" w:ascii="仿宋_GB2312" w:hAnsi="仿宋_GB2312" w:cs="仿宋_GB2312"/>
                <w:sz w:val="22"/>
              </w:rPr>
            </w:pPr>
            <w:r>
              <w:rPr>
                <w:rFonts w:hint="eastAsia" w:ascii="仿宋_GB2312" w:hAnsi="仿宋_GB2312" w:cs="仿宋_GB2312"/>
                <w:sz w:val="22"/>
              </w:rPr>
              <w:t>对应</w:t>
            </w:r>
          </w:p>
          <w:p w14:paraId="13104E6E">
            <w:pPr>
              <w:ind w:firstLine="0" w:firstLineChars="0"/>
              <w:jc w:val="center"/>
              <w:rPr>
                <w:rFonts w:hint="eastAsia" w:ascii="仿宋_GB2312" w:hAnsi="仿宋_GB2312" w:cs="仿宋_GB2312"/>
                <w:sz w:val="22"/>
              </w:rPr>
            </w:pPr>
            <w:r>
              <w:rPr>
                <w:rFonts w:hint="eastAsia" w:ascii="仿宋_GB2312" w:hAnsi="仿宋_GB2312" w:cs="仿宋_GB2312"/>
                <w:sz w:val="22"/>
              </w:rPr>
              <w:t>页码</w:t>
            </w:r>
          </w:p>
        </w:tc>
      </w:tr>
      <w:tr w14:paraId="74E5C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498" w:type="dxa"/>
            <w:noWrap/>
          </w:tcPr>
          <w:p w14:paraId="7BAABBA7">
            <w:pPr>
              <w:ind w:firstLine="0" w:firstLineChars="0"/>
              <w:jc w:val="center"/>
              <w:rPr>
                <w:rFonts w:hint="eastAsia" w:ascii="仿宋_GB2312" w:hAnsi="仿宋_GB2312" w:cs="仿宋_GB2312"/>
                <w:sz w:val="22"/>
              </w:rPr>
            </w:pPr>
          </w:p>
        </w:tc>
        <w:tc>
          <w:tcPr>
            <w:tcW w:w="2377" w:type="dxa"/>
            <w:noWrap/>
          </w:tcPr>
          <w:p w14:paraId="5FEDE396">
            <w:pPr>
              <w:ind w:firstLine="0" w:firstLineChars="0"/>
              <w:jc w:val="center"/>
              <w:rPr>
                <w:rFonts w:hint="eastAsia" w:ascii="仿宋_GB2312" w:hAnsi="仿宋_GB2312" w:cs="仿宋_GB2312"/>
                <w:sz w:val="22"/>
              </w:rPr>
            </w:pPr>
          </w:p>
        </w:tc>
        <w:tc>
          <w:tcPr>
            <w:tcW w:w="2218" w:type="dxa"/>
            <w:noWrap/>
          </w:tcPr>
          <w:p w14:paraId="4440DD50">
            <w:pPr>
              <w:ind w:firstLine="0" w:firstLineChars="0"/>
              <w:jc w:val="center"/>
              <w:rPr>
                <w:rFonts w:hint="eastAsia" w:ascii="仿宋_GB2312" w:hAnsi="仿宋_GB2312" w:cs="仿宋_GB2312"/>
                <w:sz w:val="22"/>
              </w:rPr>
            </w:pPr>
          </w:p>
        </w:tc>
        <w:tc>
          <w:tcPr>
            <w:tcW w:w="1344" w:type="dxa"/>
            <w:noWrap/>
          </w:tcPr>
          <w:p w14:paraId="07772E84">
            <w:pPr>
              <w:ind w:firstLine="0" w:firstLineChars="0"/>
              <w:jc w:val="center"/>
              <w:rPr>
                <w:rFonts w:hint="eastAsia" w:ascii="仿宋_GB2312" w:hAnsi="仿宋_GB2312" w:cs="仿宋_GB2312"/>
                <w:sz w:val="22"/>
              </w:rPr>
            </w:pPr>
          </w:p>
        </w:tc>
        <w:tc>
          <w:tcPr>
            <w:tcW w:w="749" w:type="dxa"/>
            <w:noWrap/>
          </w:tcPr>
          <w:p w14:paraId="02403960">
            <w:pPr>
              <w:ind w:firstLine="0" w:firstLineChars="0"/>
              <w:jc w:val="center"/>
              <w:rPr>
                <w:rFonts w:hint="eastAsia" w:ascii="仿宋_GB2312" w:hAnsi="仿宋_GB2312" w:cs="仿宋_GB2312"/>
                <w:sz w:val="22"/>
              </w:rPr>
            </w:pPr>
          </w:p>
        </w:tc>
      </w:tr>
      <w:tr w14:paraId="34D50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498" w:type="dxa"/>
            <w:noWrap/>
          </w:tcPr>
          <w:p w14:paraId="2EF36AA8">
            <w:pPr>
              <w:ind w:firstLine="0" w:firstLineChars="0"/>
              <w:jc w:val="center"/>
              <w:rPr>
                <w:rFonts w:hint="eastAsia" w:ascii="仿宋_GB2312" w:hAnsi="仿宋_GB2312" w:cs="仿宋_GB2312"/>
                <w:sz w:val="22"/>
              </w:rPr>
            </w:pPr>
          </w:p>
        </w:tc>
        <w:tc>
          <w:tcPr>
            <w:tcW w:w="2377" w:type="dxa"/>
            <w:noWrap/>
          </w:tcPr>
          <w:p w14:paraId="4B4F6F3F">
            <w:pPr>
              <w:ind w:firstLine="0" w:firstLineChars="0"/>
              <w:jc w:val="center"/>
              <w:rPr>
                <w:rFonts w:hint="eastAsia" w:ascii="仿宋_GB2312" w:hAnsi="仿宋_GB2312" w:cs="仿宋_GB2312"/>
                <w:sz w:val="22"/>
              </w:rPr>
            </w:pPr>
          </w:p>
        </w:tc>
        <w:tc>
          <w:tcPr>
            <w:tcW w:w="2218" w:type="dxa"/>
            <w:noWrap/>
          </w:tcPr>
          <w:p w14:paraId="416B90EA">
            <w:pPr>
              <w:ind w:firstLine="0" w:firstLineChars="0"/>
              <w:jc w:val="center"/>
              <w:rPr>
                <w:rFonts w:hint="eastAsia" w:ascii="仿宋_GB2312" w:hAnsi="仿宋_GB2312" w:cs="仿宋_GB2312"/>
                <w:sz w:val="22"/>
              </w:rPr>
            </w:pPr>
          </w:p>
        </w:tc>
        <w:tc>
          <w:tcPr>
            <w:tcW w:w="1344" w:type="dxa"/>
            <w:noWrap/>
          </w:tcPr>
          <w:p w14:paraId="56A3305B">
            <w:pPr>
              <w:ind w:firstLine="0" w:firstLineChars="0"/>
              <w:jc w:val="center"/>
              <w:rPr>
                <w:rFonts w:hint="eastAsia" w:ascii="仿宋_GB2312" w:hAnsi="仿宋_GB2312" w:cs="仿宋_GB2312"/>
                <w:sz w:val="22"/>
              </w:rPr>
            </w:pPr>
          </w:p>
        </w:tc>
        <w:tc>
          <w:tcPr>
            <w:tcW w:w="749" w:type="dxa"/>
            <w:noWrap/>
          </w:tcPr>
          <w:p w14:paraId="4D82FA9C">
            <w:pPr>
              <w:ind w:firstLine="0" w:firstLineChars="0"/>
              <w:jc w:val="center"/>
              <w:rPr>
                <w:rFonts w:hint="eastAsia" w:ascii="仿宋_GB2312" w:hAnsi="仿宋_GB2312" w:cs="仿宋_GB2312"/>
                <w:sz w:val="22"/>
              </w:rPr>
            </w:pPr>
          </w:p>
        </w:tc>
      </w:tr>
      <w:tr w14:paraId="114F4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498" w:type="dxa"/>
            <w:noWrap/>
          </w:tcPr>
          <w:p w14:paraId="6C760D73">
            <w:pPr>
              <w:ind w:firstLine="0" w:firstLineChars="0"/>
              <w:jc w:val="center"/>
              <w:rPr>
                <w:rFonts w:hint="eastAsia" w:ascii="仿宋_GB2312" w:hAnsi="仿宋_GB2312" w:cs="仿宋_GB2312"/>
                <w:sz w:val="22"/>
              </w:rPr>
            </w:pPr>
          </w:p>
        </w:tc>
        <w:tc>
          <w:tcPr>
            <w:tcW w:w="2377" w:type="dxa"/>
            <w:noWrap/>
          </w:tcPr>
          <w:p w14:paraId="07EEE134">
            <w:pPr>
              <w:ind w:firstLine="0" w:firstLineChars="0"/>
              <w:jc w:val="center"/>
              <w:rPr>
                <w:rFonts w:hint="eastAsia" w:ascii="仿宋_GB2312" w:hAnsi="仿宋_GB2312" w:cs="仿宋_GB2312"/>
                <w:sz w:val="22"/>
              </w:rPr>
            </w:pPr>
          </w:p>
        </w:tc>
        <w:tc>
          <w:tcPr>
            <w:tcW w:w="2218" w:type="dxa"/>
            <w:noWrap/>
          </w:tcPr>
          <w:p w14:paraId="72423512">
            <w:pPr>
              <w:ind w:firstLine="0" w:firstLineChars="0"/>
              <w:jc w:val="center"/>
              <w:rPr>
                <w:rFonts w:hint="eastAsia" w:ascii="仿宋_GB2312" w:hAnsi="仿宋_GB2312" w:cs="仿宋_GB2312"/>
                <w:sz w:val="22"/>
              </w:rPr>
            </w:pPr>
          </w:p>
        </w:tc>
        <w:tc>
          <w:tcPr>
            <w:tcW w:w="1344" w:type="dxa"/>
            <w:noWrap/>
          </w:tcPr>
          <w:p w14:paraId="70FAE1AE">
            <w:pPr>
              <w:ind w:firstLine="0" w:firstLineChars="0"/>
              <w:jc w:val="center"/>
              <w:rPr>
                <w:rFonts w:hint="eastAsia" w:ascii="仿宋_GB2312" w:hAnsi="仿宋_GB2312" w:cs="仿宋_GB2312"/>
                <w:sz w:val="22"/>
              </w:rPr>
            </w:pPr>
          </w:p>
        </w:tc>
        <w:tc>
          <w:tcPr>
            <w:tcW w:w="749" w:type="dxa"/>
            <w:noWrap/>
          </w:tcPr>
          <w:p w14:paraId="63B0D103">
            <w:pPr>
              <w:ind w:firstLine="0" w:firstLineChars="0"/>
              <w:jc w:val="center"/>
              <w:rPr>
                <w:rFonts w:hint="eastAsia" w:ascii="仿宋_GB2312" w:hAnsi="仿宋_GB2312" w:cs="仿宋_GB2312"/>
                <w:sz w:val="22"/>
              </w:rPr>
            </w:pPr>
          </w:p>
        </w:tc>
      </w:tr>
      <w:tr w14:paraId="1A542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498" w:type="dxa"/>
            <w:noWrap/>
          </w:tcPr>
          <w:p w14:paraId="28D2A119">
            <w:pPr>
              <w:ind w:firstLine="0" w:firstLineChars="0"/>
              <w:jc w:val="center"/>
              <w:rPr>
                <w:rFonts w:hint="eastAsia" w:ascii="仿宋_GB2312" w:hAnsi="仿宋_GB2312" w:cs="仿宋_GB2312"/>
                <w:sz w:val="22"/>
              </w:rPr>
            </w:pPr>
          </w:p>
        </w:tc>
        <w:tc>
          <w:tcPr>
            <w:tcW w:w="2377" w:type="dxa"/>
            <w:noWrap/>
          </w:tcPr>
          <w:p w14:paraId="337B092F">
            <w:pPr>
              <w:ind w:firstLine="0" w:firstLineChars="0"/>
              <w:jc w:val="center"/>
              <w:rPr>
                <w:rFonts w:hint="eastAsia" w:ascii="仿宋_GB2312" w:hAnsi="仿宋_GB2312" w:cs="仿宋_GB2312"/>
                <w:sz w:val="22"/>
              </w:rPr>
            </w:pPr>
          </w:p>
        </w:tc>
        <w:tc>
          <w:tcPr>
            <w:tcW w:w="2218" w:type="dxa"/>
            <w:noWrap/>
          </w:tcPr>
          <w:p w14:paraId="121C2665">
            <w:pPr>
              <w:ind w:firstLine="0" w:firstLineChars="0"/>
              <w:jc w:val="center"/>
              <w:rPr>
                <w:rFonts w:hint="eastAsia" w:ascii="仿宋_GB2312" w:hAnsi="仿宋_GB2312" w:cs="仿宋_GB2312"/>
                <w:sz w:val="22"/>
              </w:rPr>
            </w:pPr>
          </w:p>
        </w:tc>
        <w:tc>
          <w:tcPr>
            <w:tcW w:w="1344" w:type="dxa"/>
            <w:noWrap/>
          </w:tcPr>
          <w:p w14:paraId="5CF9ADC2">
            <w:pPr>
              <w:ind w:firstLine="0" w:firstLineChars="0"/>
              <w:jc w:val="center"/>
              <w:rPr>
                <w:rFonts w:hint="eastAsia" w:ascii="仿宋_GB2312" w:hAnsi="仿宋_GB2312" w:cs="仿宋_GB2312"/>
                <w:sz w:val="22"/>
              </w:rPr>
            </w:pPr>
          </w:p>
        </w:tc>
        <w:tc>
          <w:tcPr>
            <w:tcW w:w="749" w:type="dxa"/>
            <w:noWrap/>
          </w:tcPr>
          <w:p w14:paraId="718BC6BD">
            <w:pPr>
              <w:ind w:firstLine="0" w:firstLineChars="0"/>
              <w:jc w:val="center"/>
              <w:rPr>
                <w:rFonts w:hint="eastAsia" w:ascii="仿宋_GB2312" w:hAnsi="仿宋_GB2312" w:cs="仿宋_GB2312"/>
                <w:sz w:val="22"/>
              </w:rPr>
            </w:pPr>
          </w:p>
        </w:tc>
      </w:tr>
      <w:tr w14:paraId="36A1D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498" w:type="dxa"/>
            <w:noWrap/>
          </w:tcPr>
          <w:p w14:paraId="28E82279">
            <w:pPr>
              <w:ind w:firstLine="0" w:firstLineChars="0"/>
              <w:jc w:val="center"/>
              <w:rPr>
                <w:rFonts w:hint="eastAsia" w:ascii="仿宋_GB2312" w:hAnsi="仿宋_GB2312" w:cs="仿宋_GB2312"/>
                <w:sz w:val="22"/>
              </w:rPr>
            </w:pPr>
          </w:p>
        </w:tc>
        <w:tc>
          <w:tcPr>
            <w:tcW w:w="2377" w:type="dxa"/>
            <w:noWrap/>
          </w:tcPr>
          <w:p w14:paraId="6C7F31E7">
            <w:pPr>
              <w:ind w:firstLine="0" w:firstLineChars="0"/>
              <w:jc w:val="center"/>
              <w:rPr>
                <w:rFonts w:hint="eastAsia" w:ascii="仿宋_GB2312" w:hAnsi="仿宋_GB2312" w:cs="仿宋_GB2312"/>
                <w:sz w:val="22"/>
              </w:rPr>
            </w:pPr>
          </w:p>
        </w:tc>
        <w:tc>
          <w:tcPr>
            <w:tcW w:w="2218" w:type="dxa"/>
            <w:noWrap/>
          </w:tcPr>
          <w:p w14:paraId="66AA62BA">
            <w:pPr>
              <w:ind w:firstLine="0" w:firstLineChars="0"/>
              <w:jc w:val="center"/>
              <w:rPr>
                <w:rFonts w:hint="eastAsia" w:ascii="仿宋_GB2312" w:hAnsi="仿宋_GB2312" w:cs="仿宋_GB2312"/>
                <w:sz w:val="22"/>
              </w:rPr>
            </w:pPr>
          </w:p>
        </w:tc>
        <w:tc>
          <w:tcPr>
            <w:tcW w:w="1344" w:type="dxa"/>
            <w:noWrap/>
          </w:tcPr>
          <w:p w14:paraId="319A647F">
            <w:pPr>
              <w:ind w:firstLine="0" w:firstLineChars="0"/>
              <w:jc w:val="center"/>
              <w:rPr>
                <w:rFonts w:hint="eastAsia" w:ascii="仿宋_GB2312" w:hAnsi="仿宋_GB2312" w:cs="仿宋_GB2312"/>
                <w:sz w:val="22"/>
              </w:rPr>
            </w:pPr>
          </w:p>
        </w:tc>
        <w:tc>
          <w:tcPr>
            <w:tcW w:w="749" w:type="dxa"/>
            <w:noWrap/>
          </w:tcPr>
          <w:p w14:paraId="0B0E1755">
            <w:pPr>
              <w:ind w:firstLine="0" w:firstLineChars="0"/>
              <w:jc w:val="center"/>
              <w:rPr>
                <w:rFonts w:hint="eastAsia" w:ascii="仿宋_GB2312" w:hAnsi="仿宋_GB2312" w:cs="仿宋_GB2312"/>
                <w:sz w:val="22"/>
              </w:rPr>
            </w:pPr>
          </w:p>
        </w:tc>
      </w:tr>
      <w:tr w14:paraId="43098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498" w:type="dxa"/>
            <w:noWrap/>
          </w:tcPr>
          <w:p w14:paraId="7ADD52E1">
            <w:pPr>
              <w:ind w:firstLine="0" w:firstLineChars="0"/>
              <w:jc w:val="center"/>
              <w:rPr>
                <w:rFonts w:hint="eastAsia" w:ascii="仿宋_GB2312" w:hAnsi="仿宋_GB2312" w:cs="仿宋_GB2312"/>
                <w:sz w:val="22"/>
              </w:rPr>
            </w:pPr>
          </w:p>
        </w:tc>
        <w:tc>
          <w:tcPr>
            <w:tcW w:w="2377" w:type="dxa"/>
            <w:noWrap/>
          </w:tcPr>
          <w:p w14:paraId="17C1768E">
            <w:pPr>
              <w:ind w:firstLine="0" w:firstLineChars="0"/>
              <w:jc w:val="center"/>
              <w:rPr>
                <w:rFonts w:hint="eastAsia" w:ascii="仿宋_GB2312" w:hAnsi="仿宋_GB2312" w:cs="仿宋_GB2312"/>
                <w:sz w:val="22"/>
              </w:rPr>
            </w:pPr>
          </w:p>
        </w:tc>
        <w:tc>
          <w:tcPr>
            <w:tcW w:w="2218" w:type="dxa"/>
            <w:noWrap/>
          </w:tcPr>
          <w:p w14:paraId="73EDDFF4">
            <w:pPr>
              <w:ind w:firstLine="0" w:firstLineChars="0"/>
              <w:jc w:val="center"/>
              <w:rPr>
                <w:rFonts w:hint="eastAsia" w:ascii="仿宋_GB2312" w:hAnsi="仿宋_GB2312" w:cs="仿宋_GB2312"/>
                <w:sz w:val="22"/>
              </w:rPr>
            </w:pPr>
          </w:p>
        </w:tc>
        <w:tc>
          <w:tcPr>
            <w:tcW w:w="1344" w:type="dxa"/>
            <w:noWrap/>
          </w:tcPr>
          <w:p w14:paraId="07B58097">
            <w:pPr>
              <w:ind w:firstLine="0" w:firstLineChars="0"/>
              <w:jc w:val="center"/>
              <w:rPr>
                <w:rFonts w:hint="eastAsia" w:ascii="仿宋_GB2312" w:hAnsi="仿宋_GB2312" w:cs="仿宋_GB2312"/>
                <w:sz w:val="22"/>
              </w:rPr>
            </w:pPr>
          </w:p>
        </w:tc>
        <w:tc>
          <w:tcPr>
            <w:tcW w:w="749" w:type="dxa"/>
            <w:noWrap/>
          </w:tcPr>
          <w:p w14:paraId="5912D887">
            <w:pPr>
              <w:ind w:firstLine="0" w:firstLineChars="0"/>
              <w:jc w:val="center"/>
              <w:rPr>
                <w:rFonts w:hint="eastAsia" w:ascii="仿宋_GB2312" w:hAnsi="仿宋_GB2312" w:cs="仿宋_GB2312"/>
                <w:sz w:val="22"/>
              </w:rPr>
            </w:pPr>
          </w:p>
        </w:tc>
      </w:tr>
    </w:tbl>
    <w:p w14:paraId="60322E7D">
      <w:pPr>
        <w:ind w:firstLine="440"/>
        <w:rPr>
          <w:rFonts w:hint="eastAsia" w:ascii="仿宋_GB2312" w:hAnsi="仿宋_GB2312" w:cs="仿宋_GB2312"/>
          <w:sz w:val="22"/>
        </w:rPr>
      </w:pPr>
    </w:p>
    <w:p w14:paraId="002E549F">
      <w:pPr>
        <w:ind w:firstLine="440"/>
        <w:rPr>
          <w:rFonts w:hint="eastAsia" w:ascii="仿宋_GB2312" w:hAnsi="仿宋_GB2312" w:cs="仿宋_GB2312"/>
          <w:bCs/>
          <w:sz w:val="22"/>
        </w:rPr>
      </w:pPr>
      <w:r>
        <w:rPr>
          <w:rFonts w:hint="eastAsia" w:ascii="仿宋_GB2312" w:hAnsi="仿宋_GB2312" w:cs="仿宋_GB2312"/>
          <w:bCs/>
          <w:sz w:val="22"/>
        </w:rPr>
        <w:t>注：</w:t>
      </w:r>
    </w:p>
    <w:p w14:paraId="0C70F7C2">
      <w:pPr>
        <w:autoSpaceDE w:val="0"/>
        <w:autoSpaceDN w:val="0"/>
        <w:ind w:right="-5" w:firstLine="440"/>
        <w:textAlignment w:val="bottom"/>
        <w:rPr>
          <w:rFonts w:hint="eastAsia" w:ascii="仿宋_GB2312" w:hAnsi="仿宋_GB2312" w:cs="仿宋_GB2312"/>
          <w:sz w:val="22"/>
        </w:rPr>
      </w:pPr>
      <w:r>
        <w:rPr>
          <w:rFonts w:hint="eastAsia" w:ascii="仿宋_GB2312" w:hAnsi="仿宋_GB2312" w:cs="仿宋_GB2312"/>
          <w:bCs/>
          <w:sz w:val="22"/>
        </w:rPr>
        <w:t>1</w:t>
      </w:r>
      <w:r>
        <w:rPr>
          <w:rFonts w:hint="eastAsia" w:ascii="仿宋_GB2312" w:hAnsi="仿宋_GB2312" w:cs="仿宋_GB2312"/>
          <w:sz w:val="22"/>
        </w:rPr>
        <w:t>.“投标文件内容”和“正/负偏离说明”需附详细说明及技术资料，并注明投标文件中对应的页码范围。</w:t>
      </w:r>
    </w:p>
    <w:p w14:paraId="64DD9675">
      <w:pPr>
        <w:ind w:firstLine="440"/>
        <w:rPr>
          <w:rFonts w:hint="eastAsia" w:ascii="仿宋_GB2312" w:hAnsi="仿宋_GB2312" w:cs="仿宋_GB2312"/>
          <w:bCs/>
          <w:sz w:val="22"/>
        </w:rPr>
      </w:pPr>
      <w:r>
        <w:rPr>
          <w:rFonts w:hint="eastAsia" w:ascii="仿宋_GB2312" w:hAnsi="仿宋_GB2312" w:cs="仿宋_GB2312"/>
          <w:bCs/>
          <w:sz w:val="22"/>
        </w:rPr>
        <w:t>2.如无偏离可以“无偏离”等字样来响应。</w:t>
      </w:r>
    </w:p>
    <w:p w14:paraId="23E1EB93">
      <w:pPr>
        <w:pStyle w:val="13"/>
        <w:ind w:firstLine="440"/>
        <w:rPr>
          <w:rFonts w:hint="eastAsia" w:ascii="仿宋_GB2312" w:hAnsi="仿宋_GB2312" w:cs="仿宋_GB2312"/>
          <w:sz w:val="22"/>
        </w:rPr>
      </w:pPr>
    </w:p>
    <w:p w14:paraId="2D17323B">
      <w:pPr>
        <w:ind w:firstLine="440"/>
        <w:rPr>
          <w:rFonts w:hint="eastAsia" w:ascii="仿宋_GB2312" w:hAnsi="仿宋_GB2312" w:cs="仿宋_GB2312"/>
          <w:sz w:val="22"/>
        </w:rPr>
      </w:pPr>
    </w:p>
    <w:p w14:paraId="6DEED460">
      <w:pPr>
        <w:ind w:firstLine="440"/>
        <w:rPr>
          <w:rFonts w:hint="eastAsia" w:ascii="仿宋_GB2312" w:hAnsi="仿宋_GB2312" w:cs="仿宋_GB2312"/>
          <w:sz w:val="22"/>
        </w:rPr>
      </w:pPr>
      <w:r>
        <w:rPr>
          <w:rFonts w:hint="eastAsia" w:ascii="仿宋_GB2312" w:hAnsi="仿宋_GB2312" w:cs="仿宋_GB2312"/>
          <w:sz w:val="22"/>
        </w:rPr>
        <w:t>投标人名称名称（加盖公章）：</w:t>
      </w:r>
    </w:p>
    <w:p w14:paraId="7E5669FF">
      <w:pPr>
        <w:ind w:firstLine="440"/>
        <w:rPr>
          <w:rFonts w:hint="eastAsia" w:ascii="仿宋_GB2312" w:hAnsi="仿宋_GB2312" w:cs="仿宋_GB2312"/>
          <w:sz w:val="22"/>
        </w:rPr>
      </w:pPr>
      <w:r>
        <w:rPr>
          <w:rFonts w:hint="eastAsia" w:ascii="仿宋_GB2312" w:hAnsi="仿宋_GB2312" w:cs="仿宋_GB2312"/>
          <w:sz w:val="22"/>
        </w:rPr>
        <w:t>法定代表人或委托代理人签字：</w:t>
      </w:r>
    </w:p>
    <w:p w14:paraId="542D570B">
      <w:pPr>
        <w:ind w:firstLine="440"/>
        <w:rPr>
          <w:rFonts w:hint="eastAsia" w:ascii="仿宋_GB2312" w:hAnsi="仿宋_GB2312" w:cs="仿宋_GB2312"/>
          <w:sz w:val="22"/>
        </w:rPr>
      </w:pPr>
      <w:r>
        <w:rPr>
          <w:rFonts w:hint="eastAsia" w:ascii="仿宋_GB2312" w:hAnsi="仿宋_GB2312" w:cs="仿宋_GB2312"/>
          <w:sz w:val="22"/>
        </w:rPr>
        <w:t>日期：</w:t>
      </w:r>
    </w:p>
    <w:p w14:paraId="6A712120">
      <w:pPr>
        <w:ind w:firstLine="440"/>
        <w:rPr>
          <w:rFonts w:hint="eastAsia" w:ascii="仿宋_GB2312" w:hAnsi="仿宋_GB2312" w:cs="仿宋_GB2312"/>
          <w:sz w:val="22"/>
        </w:rPr>
      </w:pPr>
    </w:p>
    <w:p w14:paraId="1110CA8E">
      <w:pPr>
        <w:ind w:firstLine="1400" w:firstLineChars="500"/>
        <w:jc w:val="center"/>
        <w:rPr>
          <w:rFonts w:hint="eastAsia" w:ascii="仿宋_GB2312" w:hAnsi="仿宋_GB2312" w:cs="仿宋_GB2312"/>
          <w:spacing w:val="-20"/>
          <w:sz w:val="32"/>
          <w:szCs w:val="32"/>
        </w:rPr>
      </w:pPr>
      <w:r>
        <w:rPr>
          <w:rFonts w:ascii="仿宋_GB2312" w:hAnsi="仿宋_GB2312" w:cs="仿宋_GB2312"/>
          <w:spacing w:val="-20"/>
          <w:sz w:val="32"/>
          <w:szCs w:val="32"/>
        </w:rPr>
        <w:t>（其他格式自拟）</w:t>
      </w:r>
    </w:p>
    <w:p w14:paraId="4C375BB6">
      <w:pPr>
        <w:ind w:firstLine="440"/>
        <w:rPr>
          <w:rFonts w:hint="eastAsia" w:ascii="仿宋_GB2312" w:hAnsi="仿宋_GB2312" w:cs="仿宋_GB2312"/>
          <w:sz w:val="22"/>
        </w:rPr>
      </w:pPr>
    </w:p>
    <w:p w14:paraId="02C642D1">
      <w:pPr>
        <w:ind w:firstLine="0" w:firstLineChars="0"/>
        <w:rPr>
          <w:rFonts w:ascii="仿宋_GB2312"/>
        </w:rPr>
      </w:pPr>
    </w:p>
    <w:p w14:paraId="0AFDFC68">
      <w:pPr>
        <w:ind w:firstLine="0" w:firstLineChars="0"/>
        <w:rPr>
          <w:rFonts w:ascii="仿宋_GB2312"/>
        </w:rPr>
      </w:pPr>
    </w:p>
    <w:p w14:paraId="4CC8E944">
      <w:pPr>
        <w:ind w:firstLine="0" w:firstLineChars="0"/>
        <w:rPr>
          <w:rFonts w:ascii="仿宋_GB2312"/>
        </w:rPr>
      </w:pPr>
    </w:p>
    <w:p w14:paraId="521644C9">
      <w:pPr>
        <w:ind w:firstLine="0" w:firstLineChars="0"/>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公文小标宋">
    <w:panose1 w:val="02000500000000000000"/>
    <w:charset w:val="86"/>
    <w:family w:val="auto"/>
    <w:pitch w:val="default"/>
    <w:sig w:usb0="A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44592833"/>
    </w:sdtPr>
    <w:sdtContent>
      <w:p w14:paraId="33F46DEB">
        <w:pPr>
          <w:pStyle w:val="11"/>
          <w:ind w:firstLine="360"/>
          <w:jc w:val="center"/>
        </w:pPr>
        <w:r>
          <w:fldChar w:fldCharType="begin"/>
        </w:r>
        <w:r>
          <w:instrText xml:space="preserve">PAGE   \* MERGEFORMAT</w:instrText>
        </w:r>
        <w:r>
          <w:fldChar w:fldCharType="separate"/>
        </w:r>
        <w:r>
          <w:rPr>
            <w:lang w:val="zh-CN"/>
          </w:rPr>
          <w:t>16</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6CC62E">
    <w:pPr>
      <w:pStyle w:val="1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1134E2">
    <w:pPr>
      <w:pStyle w:val="11"/>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238D3B">
    <w:pPr>
      <w:pStyle w:val="12"/>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2B261">
    <w:pPr>
      <w:pStyle w:val="1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2385EE">
    <w:pPr>
      <w:pStyle w:val="12"/>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BC977C"/>
    <w:multiLevelType w:val="singleLevel"/>
    <w:tmpl w:val="F2BC977C"/>
    <w:lvl w:ilvl="0" w:tentative="0">
      <w:start w:val="1"/>
      <w:numFmt w:val="decimal"/>
      <w:suff w:val="nothing"/>
      <w:lvlText w:val="（%1）"/>
      <w:lvlJc w:val="left"/>
    </w:lvl>
  </w:abstractNum>
  <w:abstractNum w:abstractNumId="1">
    <w:nsid w:val="FD941436"/>
    <w:multiLevelType w:val="singleLevel"/>
    <w:tmpl w:val="FD941436"/>
    <w:lvl w:ilvl="0" w:tentative="0">
      <w:start w:val="2"/>
      <w:numFmt w:val="decimal"/>
      <w:suff w:val="nothing"/>
      <w:lvlText w:val="（%1）"/>
      <w:lvlJc w:val="left"/>
    </w:lvl>
  </w:abstractNum>
  <w:abstractNum w:abstractNumId="2">
    <w:nsid w:val="FFFC1F34"/>
    <w:multiLevelType w:val="singleLevel"/>
    <w:tmpl w:val="FFFC1F34"/>
    <w:lvl w:ilvl="0" w:tentative="0">
      <w:start w:val="1"/>
      <w:numFmt w:val="decimal"/>
      <w:suff w:val="nothing"/>
      <w:lvlText w:val="（%1）"/>
      <w:lvlJc w:val="left"/>
    </w:lvl>
  </w:abstractNum>
  <w:abstractNum w:abstractNumId="3">
    <w:nsid w:val="2A762E6F"/>
    <w:multiLevelType w:val="multilevel"/>
    <w:tmpl w:val="2A762E6F"/>
    <w:lvl w:ilvl="0" w:tentative="0">
      <w:start w:val="1"/>
      <w:numFmt w:val="decimal"/>
      <w:lvlText w:val="%1."/>
      <w:lvlJc w:val="left"/>
      <w:pPr>
        <w:ind w:left="1080" w:hanging="360"/>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4">
    <w:nsid w:val="64A97189"/>
    <w:multiLevelType w:val="multilevel"/>
    <w:tmpl w:val="64A97189"/>
    <w:lvl w:ilvl="0" w:tentative="0">
      <w:start w:val="1"/>
      <w:numFmt w:val="chineseCountingThousand"/>
      <w:pStyle w:val="2"/>
      <w:suff w:val="space"/>
      <w:lvlText w:val="第%1章"/>
      <w:lvlJc w:val="left"/>
      <w:pPr>
        <w:ind w:left="6521" w:firstLine="0"/>
      </w:pPr>
      <w:rPr>
        <w:rFonts w:hint="eastAsia"/>
      </w:rPr>
    </w:lvl>
    <w:lvl w:ilvl="1" w:tentative="0">
      <w:start w:val="1"/>
      <w:numFmt w:val="decimal"/>
      <w:pStyle w:val="3"/>
      <w:isLgl/>
      <w:suff w:val="space"/>
      <w:lvlText w:val="%1.%2"/>
      <w:lvlJc w:val="left"/>
      <w:pPr>
        <w:ind w:left="0" w:firstLine="0"/>
      </w:pPr>
      <w:rPr>
        <w:rFonts w:hint="eastAsia"/>
      </w:rPr>
    </w:lvl>
    <w:lvl w:ilvl="2" w:tentative="0">
      <w:start w:val="1"/>
      <w:numFmt w:val="decimal"/>
      <w:pStyle w:val="4"/>
      <w:isLgl/>
      <w:suff w:val="space"/>
      <w:lvlText w:val="%1.%2.%3"/>
      <w:lvlJc w:val="left"/>
      <w:pPr>
        <w:ind w:left="0" w:firstLine="0"/>
      </w:pPr>
      <w:rPr>
        <w:rFonts w:hint="eastAsia"/>
      </w:rPr>
    </w:lvl>
    <w:lvl w:ilvl="3" w:tentative="0">
      <w:start w:val="1"/>
      <w:numFmt w:val="decimal"/>
      <w:pStyle w:val="5"/>
      <w:isLgl/>
      <w:suff w:val="space"/>
      <w:lvlText w:val="%1.%2.%3.%4"/>
      <w:lvlJc w:val="left"/>
      <w:pPr>
        <w:ind w:left="0" w:firstLine="0"/>
      </w:pPr>
      <w:rPr>
        <w:rFonts w:hint="eastAsia"/>
      </w:rPr>
    </w:lvl>
    <w:lvl w:ilvl="4" w:tentative="0">
      <w:start w:val="1"/>
      <w:numFmt w:val="decimal"/>
      <w:pStyle w:val="6"/>
      <w:isLgl/>
      <w:suff w:val="space"/>
      <w:lvlText w:val="%1.%2.%3.%4.%5"/>
      <w:lvlJc w:val="left"/>
      <w:pPr>
        <w:ind w:left="0" w:firstLine="0"/>
      </w:pPr>
      <w:rPr>
        <w:rFonts w:hint="eastAsia"/>
      </w:rPr>
    </w:lvl>
    <w:lvl w:ilvl="5" w:tentative="0">
      <w:start w:val="1"/>
      <w:numFmt w:val="decimal"/>
      <w:pStyle w:val="7"/>
      <w:isLgl/>
      <w:suff w:val="space"/>
      <w:lvlText w:val="%1.%2.%3.%4.%5.%6"/>
      <w:lvlJc w:val="left"/>
      <w:pPr>
        <w:ind w:left="0" w:firstLine="0"/>
      </w:pPr>
      <w:rPr>
        <w:rFonts w:hint="eastAsia"/>
      </w:rPr>
    </w:lvl>
    <w:lvl w:ilvl="6" w:tentative="0">
      <w:start w:val="1"/>
      <w:numFmt w:val="decimal"/>
      <w:pStyle w:val="8"/>
      <w:isLgl/>
      <w:suff w:val="space"/>
      <w:lvlText w:val="%1.%2.%3.%4.%5.%6.%7"/>
      <w:lvlJc w:val="left"/>
      <w:pPr>
        <w:ind w:left="0" w:firstLine="0"/>
      </w:pPr>
      <w:rPr>
        <w:rFonts w:hint="eastAsia"/>
      </w:rPr>
    </w:lvl>
    <w:lvl w:ilvl="7" w:tentative="0">
      <w:start w:val="1"/>
      <w:numFmt w:val="decimal"/>
      <w:pStyle w:val="9"/>
      <w:isLgl/>
      <w:suff w:val="space"/>
      <w:lvlText w:val="%1.%2.%3.%4.%5.%6.%7.%8"/>
      <w:lvlJc w:val="left"/>
      <w:pPr>
        <w:ind w:left="0" w:firstLine="0"/>
      </w:pPr>
      <w:rPr>
        <w:rFonts w:hint="eastAsia"/>
      </w:rPr>
    </w:lvl>
    <w:lvl w:ilvl="8" w:tentative="0">
      <w:start w:val="1"/>
      <w:numFmt w:val="decimal"/>
      <w:pStyle w:val="10"/>
      <w:isLgl/>
      <w:suff w:val="space"/>
      <w:lvlText w:val="%1.%2.%3.%4.%5.%6.%7.%8.%9"/>
      <w:lvlJc w:val="left"/>
      <w:pPr>
        <w:ind w:left="0" w:firstLine="0"/>
      </w:pPr>
      <w:rPr>
        <w:rFonts w:hint="eastAsia"/>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27F"/>
    <w:rsid w:val="00000F58"/>
    <w:rsid w:val="00004577"/>
    <w:rsid w:val="000225EF"/>
    <w:rsid w:val="000303D1"/>
    <w:rsid w:val="00073BC0"/>
    <w:rsid w:val="00081C26"/>
    <w:rsid w:val="000D76D5"/>
    <w:rsid w:val="000D7AC0"/>
    <w:rsid w:val="00147C88"/>
    <w:rsid w:val="0019655F"/>
    <w:rsid w:val="00263661"/>
    <w:rsid w:val="002B4795"/>
    <w:rsid w:val="003555B5"/>
    <w:rsid w:val="00381BE9"/>
    <w:rsid w:val="003C68A7"/>
    <w:rsid w:val="003D536E"/>
    <w:rsid w:val="004C7030"/>
    <w:rsid w:val="00517623"/>
    <w:rsid w:val="005753BD"/>
    <w:rsid w:val="005C43B3"/>
    <w:rsid w:val="005E5B22"/>
    <w:rsid w:val="00643DB6"/>
    <w:rsid w:val="006801F4"/>
    <w:rsid w:val="00736C73"/>
    <w:rsid w:val="0074119D"/>
    <w:rsid w:val="007579C8"/>
    <w:rsid w:val="00766D57"/>
    <w:rsid w:val="007B78B4"/>
    <w:rsid w:val="00837AE6"/>
    <w:rsid w:val="00863528"/>
    <w:rsid w:val="00863D44"/>
    <w:rsid w:val="00905CF1"/>
    <w:rsid w:val="009653E7"/>
    <w:rsid w:val="00AA51C4"/>
    <w:rsid w:val="00B93DCF"/>
    <w:rsid w:val="00BF719A"/>
    <w:rsid w:val="00C16CCE"/>
    <w:rsid w:val="00C31AE1"/>
    <w:rsid w:val="00C61602"/>
    <w:rsid w:val="00C86229"/>
    <w:rsid w:val="00CC1B64"/>
    <w:rsid w:val="00D27AAE"/>
    <w:rsid w:val="00D77815"/>
    <w:rsid w:val="00DA74DA"/>
    <w:rsid w:val="00DB437F"/>
    <w:rsid w:val="00DE479A"/>
    <w:rsid w:val="00E40F58"/>
    <w:rsid w:val="00E4771D"/>
    <w:rsid w:val="00E5337B"/>
    <w:rsid w:val="00E75017"/>
    <w:rsid w:val="00ED68B8"/>
    <w:rsid w:val="00F236A7"/>
    <w:rsid w:val="00F7107A"/>
    <w:rsid w:val="00FB36E8"/>
    <w:rsid w:val="00FC527F"/>
    <w:rsid w:val="00FD35CB"/>
    <w:rsid w:val="587A414B"/>
    <w:rsid w:val="739372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eastAsia="仿宋_GB2312" w:asciiTheme="minorHAnsi" w:hAnsiTheme="minorHAnsi" w:cstheme="minorBidi"/>
      <w:kern w:val="2"/>
      <w:sz w:val="21"/>
      <w:szCs w:val="22"/>
      <w:lang w:val="en-US" w:eastAsia="zh-CN" w:bidi="ar-SA"/>
    </w:rPr>
  </w:style>
  <w:style w:type="paragraph" w:styleId="2">
    <w:name w:val="heading 1"/>
    <w:next w:val="1"/>
    <w:link w:val="20"/>
    <w:qFormat/>
    <w:uiPriority w:val="9"/>
    <w:pPr>
      <w:keepNext/>
      <w:keepLines/>
      <w:numPr>
        <w:ilvl w:val="0"/>
        <w:numId w:val="1"/>
      </w:numPr>
      <w:spacing w:before="340" w:after="330" w:line="578" w:lineRule="auto"/>
      <w:jc w:val="center"/>
      <w:outlineLvl w:val="0"/>
    </w:pPr>
    <w:rPr>
      <w:rFonts w:eastAsia="仿宋_GB2312" w:asciiTheme="minorHAnsi" w:hAnsiTheme="minorHAnsi" w:cstheme="minorBidi"/>
      <w:b/>
      <w:bCs/>
      <w:kern w:val="44"/>
      <w:sz w:val="44"/>
      <w:szCs w:val="44"/>
      <w:lang w:val="en-US" w:eastAsia="zh-CN" w:bidi="ar-SA"/>
    </w:rPr>
  </w:style>
  <w:style w:type="paragraph" w:styleId="3">
    <w:name w:val="heading 2"/>
    <w:next w:val="1"/>
    <w:link w:val="21"/>
    <w:unhideWhenUsed/>
    <w:qFormat/>
    <w:uiPriority w:val="9"/>
    <w:pPr>
      <w:keepNext/>
      <w:keepLines/>
      <w:numPr>
        <w:ilvl w:val="1"/>
        <w:numId w:val="1"/>
      </w:numPr>
      <w:spacing w:before="260" w:after="260" w:line="416" w:lineRule="auto"/>
      <w:outlineLvl w:val="1"/>
    </w:pPr>
    <w:rPr>
      <w:rFonts w:ascii="Calibri" w:hAnsi="Calibri" w:eastAsia="仿宋_GB2312" w:cstheme="majorBidi"/>
      <w:b/>
      <w:bCs/>
      <w:kern w:val="2"/>
      <w:sz w:val="32"/>
      <w:szCs w:val="32"/>
      <w:lang w:val="en-US" w:eastAsia="zh-CN" w:bidi="ar-SA"/>
    </w:rPr>
  </w:style>
  <w:style w:type="paragraph" w:styleId="4">
    <w:name w:val="heading 3"/>
    <w:next w:val="1"/>
    <w:link w:val="22"/>
    <w:unhideWhenUsed/>
    <w:qFormat/>
    <w:uiPriority w:val="9"/>
    <w:pPr>
      <w:keepNext/>
      <w:keepLines/>
      <w:numPr>
        <w:ilvl w:val="2"/>
        <w:numId w:val="1"/>
      </w:numPr>
      <w:spacing w:before="260" w:after="260" w:line="416" w:lineRule="auto"/>
      <w:outlineLvl w:val="2"/>
    </w:pPr>
    <w:rPr>
      <w:rFonts w:ascii="Calibri" w:hAnsi="Calibri" w:eastAsia="仿宋_GB2312" w:cstheme="minorBidi"/>
      <w:b/>
      <w:bCs/>
      <w:kern w:val="2"/>
      <w:sz w:val="32"/>
      <w:szCs w:val="32"/>
      <w:lang w:val="en-US" w:eastAsia="zh-CN" w:bidi="ar-SA"/>
    </w:rPr>
  </w:style>
  <w:style w:type="paragraph" w:styleId="5">
    <w:name w:val="heading 4"/>
    <w:next w:val="1"/>
    <w:link w:val="23"/>
    <w:unhideWhenUsed/>
    <w:qFormat/>
    <w:uiPriority w:val="9"/>
    <w:pPr>
      <w:keepNext/>
      <w:keepLines/>
      <w:numPr>
        <w:ilvl w:val="3"/>
        <w:numId w:val="1"/>
      </w:numPr>
      <w:spacing w:before="280" w:after="290" w:line="376" w:lineRule="auto"/>
      <w:outlineLvl w:val="3"/>
    </w:pPr>
    <w:rPr>
      <w:rFonts w:ascii="Calibri" w:hAnsi="Calibri" w:eastAsiaTheme="majorEastAsia" w:cstheme="majorBidi"/>
      <w:b/>
      <w:bCs/>
      <w:kern w:val="2"/>
      <w:sz w:val="28"/>
      <w:szCs w:val="28"/>
      <w:lang w:val="en-US" w:eastAsia="zh-CN" w:bidi="ar-SA"/>
    </w:rPr>
  </w:style>
  <w:style w:type="paragraph" w:styleId="6">
    <w:name w:val="heading 5"/>
    <w:next w:val="1"/>
    <w:link w:val="24"/>
    <w:unhideWhenUsed/>
    <w:qFormat/>
    <w:uiPriority w:val="9"/>
    <w:pPr>
      <w:keepNext/>
      <w:keepLines/>
      <w:numPr>
        <w:ilvl w:val="4"/>
        <w:numId w:val="1"/>
      </w:numPr>
      <w:spacing w:before="280" w:after="290" w:line="376" w:lineRule="auto"/>
      <w:outlineLvl w:val="4"/>
    </w:pPr>
    <w:rPr>
      <w:rFonts w:ascii="Calibri" w:hAnsi="Calibri" w:eastAsiaTheme="minorEastAsia" w:cstheme="minorBidi"/>
      <w:b/>
      <w:bCs/>
      <w:kern w:val="2"/>
      <w:sz w:val="28"/>
      <w:szCs w:val="28"/>
      <w:lang w:val="en-US" w:eastAsia="zh-CN" w:bidi="ar-SA"/>
    </w:rPr>
  </w:style>
  <w:style w:type="paragraph" w:styleId="7">
    <w:name w:val="heading 6"/>
    <w:next w:val="1"/>
    <w:link w:val="25"/>
    <w:unhideWhenUsed/>
    <w:qFormat/>
    <w:uiPriority w:val="9"/>
    <w:pPr>
      <w:keepNext/>
      <w:keepLines/>
      <w:numPr>
        <w:ilvl w:val="5"/>
        <w:numId w:val="1"/>
      </w:numPr>
      <w:spacing w:before="240" w:after="64" w:line="320" w:lineRule="auto"/>
      <w:outlineLvl w:val="5"/>
    </w:pPr>
    <w:rPr>
      <w:rFonts w:ascii="Calibri" w:hAnsi="Calibri" w:eastAsiaTheme="majorEastAsia" w:cstheme="majorBidi"/>
      <w:b/>
      <w:bCs/>
      <w:kern w:val="2"/>
      <w:sz w:val="24"/>
      <w:szCs w:val="24"/>
      <w:lang w:val="en-US" w:eastAsia="zh-CN" w:bidi="ar-SA"/>
    </w:rPr>
  </w:style>
  <w:style w:type="paragraph" w:styleId="8">
    <w:name w:val="heading 7"/>
    <w:next w:val="1"/>
    <w:link w:val="26"/>
    <w:unhideWhenUsed/>
    <w:qFormat/>
    <w:uiPriority w:val="9"/>
    <w:pPr>
      <w:keepNext/>
      <w:keepLines/>
      <w:numPr>
        <w:ilvl w:val="6"/>
        <w:numId w:val="1"/>
      </w:numPr>
      <w:spacing w:before="240" w:after="64" w:line="320" w:lineRule="auto"/>
      <w:outlineLvl w:val="6"/>
    </w:pPr>
    <w:rPr>
      <w:rFonts w:ascii="Calibri" w:hAnsi="Calibri" w:eastAsiaTheme="minorEastAsia" w:cstheme="minorBidi"/>
      <w:b/>
      <w:bCs/>
      <w:kern w:val="2"/>
      <w:sz w:val="24"/>
      <w:szCs w:val="24"/>
      <w:lang w:val="en-US" w:eastAsia="zh-CN" w:bidi="ar-SA"/>
    </w:rPr>
  </w:style>
  <w:style w:type="paragraph" w:styleId="9">
    <w:name w:val="heading 8"/>
    <w:next w:val="1"/>
    <w:link w:val="27"/>
    <w:unhideWhenUsed/>
    <w:qFormat/>
    <w:uiPriority w:val="9"/>
    <w:pPr>
      <w:keepNext/>
      <w:keepLines/>
      <w:numPr>
        <w:ilvl w:val="7"/>
        <w:numId w:val="1"/>
      </w:numPr>
      <w:spacing w:before="240" w:after="64" w:line="320" w:lineRule="auto"/>
      <w:outlineLvl w:val="7"/>
    </w:pPr>
    <w:rPr>
      <w:rFonts w:ascii="Calibri" w:hAnsi="Calibri" w:eastAsiaTheme="majorEastAsia" w:cstheme="majorBidi"/>
      <w:kern w:val="2"/>
      <w:sz w:val="24"/>
      <w:szCs w:val="24"/>
      <w:lang w:val="en-US" w:eastAsia="zh-CN" w:bidi="ar-SA"/>
    </w:rPr>
  </w:style>
  <w:style w:type="paragraph" w:styleId="10">
    <w:name w:val="heading 9"/>
    <w:next w:val="1"/>
    <w:link w:val="28"/>
    <w:unhideWhenUsed/>
    <w:qFormat/>
    <w:uiPriority w:val="9"/>
    <w:pPr>
      <w:keepNext/>
      <w:keepLines/>
      <w:numPr>
        <w:ilvl w:val="8"/>
        <w:numId w:val="1"/>
      </w:numPr>
      <w:spacing w:before="240" w:after="64" w:line="320" w:lineRule="auto"/>
      <w:outlineLvl w:val="8"/>
    </w:pPr>
    <w:rPr>
      <w:rFonts w:ascii="Calibri" w:hAnsi="Calibri" w:eastAsiaTheme="majorEastAsia" w:cstheme="majorBidi"/>
      <w:kern w:val="2"/>
      <w:sz w:val="24"/>
      <w:szCs w:val="21"/>
      <w:lang w:val="en-US" w:eastAsia="zh-CN" w:bidi="ar-SA"/>
    </w:rPr>
  </w:style>
  <w:style w:type="character" w:default="1" w:styleId="15">
    <w:name w:val="Default Paragraph Font"/>
    <w:semiHidden/>
    <w:unhideWhenUsed/>
    <w:qFormat/>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11">
    <w:name w:val="footer"/>
    <w:basedOn w:val="1"/>
    <w:link w:val="17"/>
    <w:unhideWhenUsed/>
    <w:qFormat/>
    <w:uiPriority w:val="99"/>
    <w:pPr>
      <w:tabs>
        <w:tab w:val="center" w:pos="4153"/>
        <w:tab w:val="right" w:pos="8306"/>
      </w:tabs>
      <w:snapToGrid w:val="0"/>
      <w:jc w:val="left"/>
    </w:pPr>
    <w:rPr>
      <w:sz w:val="18"/>
      <w:szCs w:val="18"/>
    </w:rPr>
  </w:style>
  <w:style w:type="paragraph" w:styleId="12">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autoRedefine/>
    <w:unhideWhenUsed/>
    <w:qFormat/>
    <w:uiPriority w:val="39"/>
  </w:style>
  <w:style w:type="character" w:customStyle="1" w:styleId="16">
    <w:name w:val="页眉 字符"/>
    <w:basedOn w:val="15"/>
    <w:link w:val="12"/>
    <w:qFormat/>
    <w:uiPriority w:val="99"/>
    <w:rPr>
      <w:sz w:val="18"/>
      <w:szCs w:val="18"/>
    </w:rPr>
  </w:style>
  <w:style w:type="character" w:customStyle="1" w:styleId="17">
    <w:name w:val="页脚 字符"/>
    <w:basedOn w:val="15"/>
    <w:link w:val="11"/>
    <w:qFormat/>
    <w:uiPriority w:val="99"/>
    <w:rPr>
      <w:sz w:val="18"/>
      <w:szCs w:val="18"/>
    </w:rPr>
  </w:style>
  <w:style w:type="paragraph" w:styleId="18">
    <w:name w:val="List Paragraph"/>
    <w:basedOn w:val="1"/>
    <w:qFormat/>
    <w:uiPriority w:val="34"/>
    <w:pPr>
      <w:ind w:firstLine="420"/>
    </w:pPr>
  </w:style>
  <w:style w:type="paragraph" w:styleId="19">
    <w:name w:val="No Spacing"/>
    <w:qFormat/>
    <w:uiPriority w:val="1"/>
    <w:pPr>
      <w:widowControl w:val="0"/>
      <w:jc w:val="both"/>
    </w:pPr>
    <w:rPr>
      <w:rFonts w:eastAsia="仿宋_GB2312" w:asciiTheme="minorHAnsi" w:hAnsiTheme="minorHAnsi" w:cstheme="minorBidi"/>
      <w:kern w:val="2"/>
      <w:sz w:val="21"/>
      <w:szCs w:val="22"/>
      <w:lang w:val="en-US" w:eastAsia="zh-CN" w:bidi="ar-SA"/>
    </w:rPr>
  </w:style>
  <w:style w:type="character" w:customStyle="1" w:styleId="20">
    <w:name w:val="标题 1 字符"/>
    <w:basedOn w:val="15"/>
    <w:link w:val="2"/>
    <w:qFormat/>
    <w:uiPriority w:val="9"/>
    <w:rPr>
      <w:rFonts w:eastAsia="仿宋_GB2312"/>
      <w:b/>
      <w:bCs/>
      <w:kern w:val="44"/>
      <w:sz w:val="44"/>
      <w:szCs w:val="44"/>
    </w:rPr>
  </w:style>
  <w:style w:type="character" w:customStyle="1" w:styleId="21">
    <w:name w:val="标题 2 字符"/>
    <w:basedOn w:val="15"/>
    <w:link w:val="3"/>
    <w:uiPriority w:val="9"/>
    <w:rPr>
      <w:rFonts w:ascii="Calibri" w:hAnsi="Calibri" w:eastAsia="仿宋_GB2312" w:cstheme="majorBidi"/>
      <w:b/>
      <w:bCs/>
      <w:sz w:val="32"/>
      <w:szCs w:val="32"/>
    </w:rPr>
  </w:style>
  <w:style w:type="character" w:customStyle="1" w:styleId="22">
    <w:name w:val="标题 3 字符"/>
    <w:basedOn w:val="15"/>
    <w:link w:val="4"/>
    <w:uiPriority w:val="9"/>
    <w:rPr>
      <w:rFonts w:ascii="Calibri" w:hAnsi="Calibri" w:eastAsia="仿宋_GB2312"/>
      <w:b/>
      <w:bCs/>
      <w:sz w:val="32"/>
      <w:szCs w:val="32"/>
    </w:rPr>
  </w:style>
  <w:style w:type="character" w:customStyle="1" w:styleId="23">
    <w:name w:val="标题 4 字符"/>
    <w:basedOn w:val="15"/>
    <w:link w:val="5"/>
    <w:uiPriority w:val="9"/>
    <w:rPr>
      <w:rFonts w:ascii="Calibri" w:hAnsi="Calibri" w:eastAsiaTheme="majorEastAsia" w:cstheme="majorBidi"/>
      <w:b/>
      <w:bCs/>
      <w:sz w:val="28"/>
      <w:szCs w:val="28"/>
    </w:rPr>
  </w:style>
  <w:style w:type="character" w:customStyle="1" w:styleId="24">
    <w:name w:val="标题 5 字符"/>
    <w:basedOn w:val="15"/>
    <w:link w:val="6"/>
    <w:uiPriority w:val="9"/>
    <w:rPr>
      <w:rFonts w:ascii="Calibri" w:hAnsi="Calibri"/>
      <w:b/>
      <w:bCs/>
      <w:sz w:val="28"/>
      <w:szCs w:val="28"/>
    </w:rPr>
  </w:style>
  <w:style w:type="character" w:customStyle="1" w:styleId="25">
    <w:name w:val="标题 6 字符"/>
    <w:basedOn w:val="15"/>
    <w:link w:val="7"/>
    <w:uiPriority w:val="9"/>
    <w:rPr>
      <w:rFonts w:ascii="Calibri" w:hAnsi="Calibri" w:eastAsiaTheme="majorEastAsia" w:cstheme="majorBidi"/>
      <w:b/>
      <w:bCs/>
      <w:sz w:val="24"/>
      <w:szCs w:val="24"/>
    </w:rPr>
  </w:style>
  <w:style w:type="character" w:customStyle="1" w:styleId="26">
    <w:name w:val="标题 7 字符"/>
    <w:basedOn w:val="15"/>
    <w:link w:val="8"/>
    <w:uiPriority w:val="9"/>
    <w:rPr>
      <w:rFonts w:ascii="Calibri" w:hAnsi="Calibri"/>
      <w:b/>
      <w:bCs/>
      <w:sz w:val="24"/>
      <w:szCs w:val="24"/>
    </w:rPr>
  </w:style>
  <w:style w:type="character" w:customStyle="1" w:styleId="27">
    <w:name w:val="标题 8 字符"/>
    <w:basedOn w:val="15"/>
    <w:link w:val="9"/>
    <w:uiPriority w:val="9"/>
    <w:rPr>
      <w:rFonts w:ascii="Calibri" w:hAnsi="Calibri" w:eastAsiaTheme="majorEastAsia" w:cstheme="majorBidi"/>
      <w:sz w:val="24"/>
      <w:szCs w:val="24"/>
    </w:rPr>
  </w:style>
  <w:style w:type="character" w:customStyle="1" w:styleId="28">
    <w:name w:val="标题 9 字符"/>
    <w:basedOn w:val="15"/>
    <w:link w:val="10"/>
    <w:uiPriority w:val="9"/>
    <w:rPr>
      <w:rFonts w:ascii="Calibri" w:hAnsi="Calibri" w:eastAsiaTheme="majorEastAsia" w:cstheme="majorBidi"/>
      <w:sz w:val="24"/>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P R C</Company>
  <Pages>30</Pages>
  <Words>12836</Words>
  <Characters>13093</Characters>
  <Lines>109</Lines>
  <Paragraphs>30</Paragraphs>
  <TotalTime>4</TotalTime>
  <ScaleCrop>false</ScaleCrop>
  <LinksUpToDate>false</LinksUpToDate>
  <CharactersWithSpaces>13093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2026-07-22T07:10:00Z</dcterms:created>
  <dc:creator>Windows User</dc:creator>
  <cp:lastModifiedBy>尚洪艺</cp:lastModifiedBy>
  <dcterms:modified xsi:type="dcterms:W3CDTF">2026-09-01T01:00:50Z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eyJoZGlkIjoiMTE5OTU0ZTU0NDNmYzJjNWYyYjZkNDRmMjVkNDBkZmQiLCJ1c2VySWQiOiIxNzA4MDU2Mjg0In0=</vt:lpwstr>
  </property>
  <property fmtid="{D5CDD505-2E9C-101B-9397-08002B2CF9AE}" pid="3" name="KSOProductBuildVer">
    <vt:lpwstr>2052-12.1.0.28043</vt:lpwstr>
  </property>
  <property fmtid="{D5CDD505-2E9C-101B-9397-08002B2CF9AE}" pid="4" name="ICV">
    <vt:lpwstr>5B4E8B620CF84EC0A624F8AF2DF1725A_12</vt:lpwstr>
  </property>
</Properties>
</file>